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3545"/>
        <w:gridCol w:w="6327"/>
      </w:tblGrid>
      <w:tr w:rsidR="00AC0A0A" w14:paraId="1832E7D0" w14:textId="77777777" w:rsidTr="000A565A">
        <w:trPr>
          <w:trHeight w:val="9639"/>
        </w:trPr>
        <w:tc>
          <w:tcPr>
            <w:tcW w:w="3545" w:type="dxa"/>
          </w:tcPr>
          <w:p w14:paraId="57DD84FA" w14:textId="77777777" w:rsidR="00AC0A0A" w:rsidRPr="0056343E" w:rsidRDefault="00AC0A0A" w:rsidP="00792BDB">
            <w:pPr>
              <w:jc w:val="both"/>
              <w:rPr>
                <w:rFonts w:ascii="Arial" w:hAnsi="Arial" w:cs="Arial"/>
              </w:rPr>
            </w:pPr>
          </w:p>
          <w:p w14:paraId="7B3D1011" w14:textId="77777777" w:rsidR="00AC0A0A" w:rsidRDefault="00AC0A0A" w:rsidP="00792BDB">
            <w:pPr>
              <w:jc w:val="both"/>
              <w:rPr>
                <w:rFonts w:ascii="Book Antiqua" w:hAnsi="Book Antiqua" w:cs="Arial"/>
                <w:b/>
                <w:bCs/>
                <w:sz w:val="28"/>
                <w:szCs w:val="28"/>
              </w:rPr>
            </w:pPr>
            <w:r w:rsidRPr="0056343E">
              <w:rPr>
                <w:rFonts w:ascii="Book Antiqua" w:hAnsi="Book Antiqua" w:cs="Arial"/>
                <w:b/>
                <w:bCs/>
                <w:sz w:val="28"/>
                <w:szCs w:val="28"/>
              </w:rPr>
              <w:t xml:space="preserve">IBLAM </w:t>
            </w:r>
            <w:r w:rsidR="0056343E" w:rsidRPr="0056343E">
              <w:rPr>
                <w:rFonts w:ascii="Book Antiqua" w:hAnsi="Book Antiqua" w:cs="Arial"/>
                <w:b/>
                <w:bCs/>
                <w:sz w:val="28"/>
                <w:szCs w:val="28"/>
              </w:rPr>
              <w:t>LAW REVIEW</w:t>
            </w:r>
          </w:p>
          <w:p w14:paraId="709E59E7" w14:textId="77777777" w:rsidR="007E2B34" w:rsidRDefault="007E2B34" w:rsidP="00792BDB">
            <w:pPr>
              <w:jc w:val="both"/>
              <w:rPr>
                <w:rFonts w:ascii="Book Antiqua" w:hAnsi="Book Antiqua" w:cs="Arial"/>
                <w:b/>
                <w:bCs/>
                <w:sz w:val="28"/>
                <w:szCs w:val="28"/>
              </w:rPr>
            </w:pPr>
          </w:p>
          <w:p w14:paraId="05EBEB55" w14:textId="77777777" w:rsidR="007E2B34" w:rsidRPr="00D859B1" w:rsidRDefault="00735D79" w:rsidP="00792BDB">
            <w:pPr>
              <w:jc w:val="both"/>
              <w:rPr>
                <w:rFonts w:ascii="Book Antiqua" w:hAnsi="Book Antiqua" w:cs="Arial"/>
                <w:b/>
                <w:bCs/>
                <w:sz w:val="24"/>
              </w:rPr>
            </w:pPr>
            <w:r w:rsidRPr="00D859B1">
              <w:rPr>
                <w:rFonts w:ascii="Book Antiqua" w:hAnsi="Book Antiqua" w:cs="Arial"/>
                <w:b/>
                <w:bCs/>
                <w:sz w:val="24"/>
              </w:rPr>
              <w:t>P-ISSN</w:t>
            </w:r>
          </w:p>
          <w:p w14:paraId="46AFCB75" w14:textId="77777777" w:rsidR="00735D79" w:rsidRPr="00735D79" w:rsidRDefault="00735D79" w:rsidP="00792BDB">
            <w:pPr>
              <w:jc w:val="both"/>
              <w:rPr>
                <w:rFonts w:ascii="Book Antiqua" w:hAnsi="Book Antiqua" w:cs="Arial"/>
              </w:rPr>
            </w:pPr>
            <w:r w:rsidRPr="00735D79">
              <w:rPr>
                <w:rFonts w:ascii="Book Antiqua" w:hAnsi="Book Antiqua" w:cs="Arial"/>
              </w:rPr>
              <w:t>2775-4146</w:t>
            </w:r>
          </w:p>
          <w:p w14:paraId="611D2E74" w14:textId="77777777" w:rsidR="00735D79" w:rsidRPr="00D859B1" w:rsidRDefault="00735D79" w:rsidP="00792BDB">
            <w:pPr>
              <w:jc w:val="both"/>
              <w:rPr>
                <w:rFonts w:ascii="Book Antiqua" w:hAnsi="Book Antiqua" w:cs="Arial"/>
                <w:b/>
                <w:bCs/>
                <w:sz w:val="24"/>
              </w:rPr>
            </w:pPr>
            <w:r w:rsidRPr="00D859B1">
              <w:rPr>
                <w:rFonts w:ascii="Book Antiqua" w:hAnsi="Book Antiqua" w:cs="Arial"/>
                <w:b/>
                <w:bCs/>
                <w:sz w:val="24"/>
              </w:rPr>
              <w:t>E-ISSN</w:t>
            </w:r>
          </w:p>
          <w:p w14:paraId="378C0802" w14:textId="77777777" w:rsidR="00735D79" w:rsidRPr="00735D79" w:rsidRDefault="00735D79" w:rsidP="00792BDB">
            <w:pPr>
              <w:jc w:val="both"/>
              <w:rPr>
                <w:rFonts w:ascii="Book Antiqua" w:hAnsi="Book Antiqua" w:cs="Arial"/>
              </w:rPr>
            </w:pPr>
            <w:r w:rsidRPr="00735D79">
              <w:rPr>
                <w:rFonts w:ascii="Book Antiqua" w:hAnsi="Book Antiqua" w:cs="Arial"/>
              </w:rPr>
              <w:t>2775-3174</w:t>
            </w:r>
          </w:p>
          <w:p w14:paraId="121C15D6" w14:textId="77777777" w:rsidR="00792BDB" w:rsidRPr="0056343E" w:rsidRDefault="00792BDB" w:rsidP="00792BDB">
            <w:pPr>
              <w:jc w:val="both"/>
              <w:rPr>
                <w:rFonts w:ascii="Book Antiqua" w:hAnsi="Book Antiqua" w:cs="Arial"/>
              </w:rPr>
            </w:pPr>
          </w:p>
          <w:p w14:paraId="5A7E75CD" w14:textId="5EB44104" w:rsidR="00792BDB" w:rsidRPr="00C33F27" w:rsidRDefault="00792BDB" w:rsidP="00792BDB">
            <w:pPr>
              <w:jc w:val="both"/>
              <w:rPr>
                <w:rFonts w:ascii="Book Antiqua" w:hAnsi="Book Antiqua" w:cs="Arial"/>
                <w:sz w:val="24"/>
                <w:szCs w:val="24"/>
              </w:rPr>
            </w:pPr>
            <w:r w:rsidRPr="00C33F27">
              <w:rPr>
                <w:rFonts w:ascii="Book Antiqua" w:hAnsi="Book Antiqua" w:cs="Arial"/>
                <w:sz w:val="24"/>
                <w:szCs w:val="24"/>
              </w:rPr>
              <w:t>Vol</w:t>
            </w:r>
            <w:r w:rsidR="00C33F27">
              <w:rPr>
                <w:rFonts w:ascii="Book Antiqua" w:hAnsi="Book Antiqua" w:cs="Arial"/>
                <w:sz w:val="24"/>
                <w:szCs w:val="24"/>
              </w:rPr>
              <w:t>ume</w:t>
            </w:r>
            <w:r w:rsidRPr="00C33F27">
              <w:rPr>
                <w:rFonts w:ascii="Book Antiqua" w:hAnsi="Book Antiqua" w:cs="Arial"/>
                <w:sz w:val="24"/>
                <w:szCs w:val="24"/>
              </w:rPr>
              <w:t xml:space="preserve"> </w:t>
            </w:r>
            <w:r w:rsidR="0084487E">
              <w:rPr>
                <w:rFonts w:ascii="Book Antiqua" w:hAnsi="Book Antiqua" w:cs="Arial"/>
                <w:sz w:val="24"/>
                <w:szCs w:val="24"/>
              </w:rPr>
              <w:t>4</w:t>
            </w:r>
            <w:r w:rsidRPr="00C33F27">
              <w:rPr>
                <w:rFonts w:ascii="Book Antiqua" w:hAnsi="Book Antiqua" w:cs="Arial"/>
                <w:sz w:val="24"/>
                <w:szCs w:val="24"/>
              </w:rPr>
              <w:t>, No</w:t>
            </w:r>
            <w:r w:rsidR="0084487E">
              <w:rPr>
                <w:rFonts w:ascii="Book Antiqua" w:hAnsi="Book Antiqua" w:cs="Arial"/>
                <w:sz w:val="24"/>
                <w:szCs w:val="24"/>
              </w:rPr>
              <w:t>mor 1</w:t>
            </w:r>
            <w:r w:rsidR="00C33F27">
              <w:rPr>
                <w:rFonts w:ascii="Book Antiqua" w:hAnsi="Book Antiqua" w:cs="Arial"/>
                <w:sz w:val="24"/>
                <w:szCs w:val="24"/>
              </w:rPr>
              <w:t xml:space="preserve">, </w:t>
            </w:r>
            <w:r w:rsidRPr="00C33F27">
              <w:rPr>
                <w:rFonts w:ascii="Book Antiqua" w:hAnsi="Book Antiqua" w:cs="Arial"/>
                <w:sz w:val="24"/>
                <w:szCs w:val="24"/>
              </w:rPr>
              <w:t>202</w:t>
            </w:r>
            <w:r w:rsidR="001662EC">
              <w:rPr>
                <w:rFonts w:ascii="Book Antiqua" w:hAnsi="Book Antiqua" w:cs="Arial"/>
                <w:sz w:val="24"/>
                <w:szCs w:val="24"/>
              </w:rPr>
              <w:t>4</w:t>
            </w:r>
          </w:p>
          <w:p w14:paraId="407A291E" w14:textId="77777777" w:rsidR="00792BDB" w:rsidRPr="00D859B1" w:rsidRDefault="00792BDB" w:rsidP="00792BDB">
            <w:pPr>
              <w:jc w:val="both"/>
              <w:rPr>
                <w:rFonts w:ascii="Book Antiqua" w:hAnsi="Book Antiqua" w:cs="Arial"/>
                <w:sz w:val="24"/>
              </w:rPr>
            </w:pPr>
          </w:p>
          <w:p w14:paraId="2988301A" w14:textId="77777777" w:rsidR="00792BDB" w:rsidRPr="00D859B1" w:rsidRDefault="00792BDB" w:rsidP="00792BDB">
            <w:pPr>
              <w:jc w:val="both"/>
              <w:rPr>
                <w:rFonts w:ascii="Book Antiqua" w:hAnsi="Book Antiqua" w:cs="Arial"/>
                <w:b/>
                <w:bCs/>
                <w:sz w:val="24"/>
              </w:rPr>
            </w:pPr>
            <w:r w:rsidRPr="00D859B1">
              <w:rPr>
                <w:rFonts w:ascii="Book Antiqua" w:hAnsi="Book Antiqua" w:cs="Arial"/>
                <w:b/>
                <w:bCs/>
                <w:sz w:val="24"/>
              </w:rPr>
              <w:t>Authors</w:t>
            </w:r>
          </w:p>
          <w:p w14:paraId="68AA24DE" w14:textId="0B73C661" w:rsidR="00792BDB" w:rsidRPr="0056343E" w:rsidRDefault="001662EC" w:rsidP="00792BDB">
            <w:pPr>
              <w:jc w:val="both"/>
              <w:rPr>
                <w:rFonts w:ascii="Book Antiqua" w:hAnsi="Book Antiqua" w:cs="Arial"/>
              </w:rPr>
            </w:pPr>
            <w:r>
              <w:rPr>
                <w:rFonts w:ascii="Book Antiqua" w:hAnsi="Book Antiqua" w:cs="Arial"/>
              </w:rPr>
              <w:t>Siti Aminah</w:t>
            </w:r>
          </w:p>
          <w:p w14:paraId="7C981362" w14:textId="71BE8FD7" w:rsidR="00792BDB" w:rsidRPr="0056343E" w:rsidRDefault="00792BDB" w:rsidP="00773878">
            <w:pPr>
              <w:jc w:val="both"/>
              <w:rPr>
                <w:rFonts w:ascii="Book Antiqua" w:hAnsi="Book Antiqua" w:cs="Arial"/>
              </w:rPr>
            </w:pPr>
          </w:p>
          <w:p w14:paraId="58965814" w14:textId="77777777" w:rsidR="00792BDB" w:rsidRPr="00D859B1" w:rsidRDefault="00792BDB" w:rsidP="00792BDB">
            <w:pPr>
              <w:jc w:val="both"/>
              <w:rPr>
                <w:rFonts w:ascii="Book Antiqua" w:hAnsi="Book Antiqua" w:cs="Arial"/>
                <w:b/>
                <w:bCs/>
                <w:sz w:val="24"/>
              </w:rPr>
            </w:pPr>
            <w:r w:rsidRPr="00D859B1">
              <w:rPr>
                <w:rFonts w:ascii="Book Antiqua" w:hAnsi="Book Antiqua" w:cs="Arial"/>
                <w:b/>
                <w:bCs/>
                <w:sz w:val="24"/>
              </w:rPr>
              <w:t>Affiliation</w:t>
            </w:r>
          </w:p>
          <w:p w14:paraId="1ABDE38A" w14:textId="6B8147B6" w:rsidR="00792BDB" w:rsidRPr="0056343E" w:rsidRDefault="001662EC" w:rsidP="00792BDB">
            <w:pPr>
              <w:jc w:val="both"/>
              <w:rPr>
                <w:rFonts w:ascii="Book Antiqua" w:hAnsi="Book Antiqua" w:cs="Arial"/>
              </w:rPr>
            </w:pPr>
            <w:r>
              <w:rPr>
                <w:rFonts w:ascii="Book Antiqua" w:hAnsi="Book Antiqua" w:cs="Arial"/>
              </w:rPr>
              <w:t>Universitas Tanjungpura</w:t>
            </w:r>
          </w:p>
          <w:p w14:paraId="7A0D6B2C" w14:textId="1CC81DF3" w:rsidR="00792BDB" w:rsidRPr="0056343E" w:rsidRDefault="00792BDB" w:rsidP="00773878">
            <w:pPr>
              <w:jc w:val="both"/>
              <w:rPr>
                <w:rFonts w:ascii="Book Antiqua" w:hAnsi="Book Antiqua" w:cs="Arial"/>
              </w:rPr>
            </w:pPr>
          </w:p>
          <w:p w14:paraId="6BDCEE97" w14:textId="77777777" w:rsidR="00792BDB" w:rsidRPr="00D859B1" w:rsidRDefault="00792BDB" w:rsidP="00792BDB">
            <w:pPr>
              <w:jc w:val="both"/>
              <w:rPr>
                <w:rFonts w:ascii="Book Antiqua" w:hAnsi="Book Antiqua" w:cs="Arial"/>
                <w:b/>
                <w:bCs/>
                <w:sz w:val="24"/>
              </w:rPr>
            </w:pPr>
            <w:r w:rsidRPr="00D859B1">
              <w:rPr>
                <w:rFonts w:ascii="Book Antiqua" w:hAnsi="Book Antiqua" w:cs="Arial"/>
                <w:b/>
                <w:bCs/>
                <w:sz w:val="24"/>
              </w:rPr>
              <w:t>Email</w:t>
            </w:r>
          </w:p>
          <w:p w14:paraId="2ECF6847" w14:textId="74FB1BCA" w:rsidR="001662EC" w:rsidRPr="0056343E" w:rsidRDefault="001662EC" w:rsidP="00792BDB">
            <w:pPr>
              <w:jc w:val="both"/>
              <w:rPr>
                <w:rFonts w:ascii="Book Antiqua" w:hAnsi="Book Antiqua" w:cs="Arial"/>
              </w:rPr>
            </w:pPr>
            <w:r>
              <w:rPr>
                <w:rFonts w:ascii="Book Antiqua" w:hAnsi="Book Antiqua" w:cs="Arial"/>
              </w:rPr>
              <w:t>sitiaminah@hukum.untan.ac.id</w:t>
            </w:r>
            <w:r w:rsidR="00B33289">
              <w:rPr>
                <w:rFonts w:ascii="Book Antiqua" w:hAnsi="Book Antiqua" w:cs="Arial"/>
              </w:rPr>
              <w:t xml:space="preserve"> </w:t>
            </w:r>
            <w:r>
              <w:rPr>
                <w:rFonts w:ascii="Book Antiqua" w:hAnsi="Book Antiqua" w:cs="Arial"/>
              </w:rPr>
              <w:t xml:space="preserve"> </w:t>
            </w:r>
          </w:p>
          <w:p w14:paraId="1BF45027" w14:textId="77777777" w:rsidR="00792BDB" w:rsidRPr="0056343E" w:rsidRDefault="00792BDB" w:rsidP="00792BDB">
            <w:pPr>
              <w:jc w:val="both"/>
              <w:rPr>
                <w:rFonts w:ascii="Arial" w:hAnsi="Arial" w:cs="Arial"/>
              </w:rPr>
            </w:pPr>
          </w:p>
          <w:p w14:paraId="5E8A9A90" w14:textId="77777777" w:rsidR="00792BDB" w:rsidRPr="00D859B1" w:rsidRDefault="007E2B34" w:rsidP="00792BDB">
            <w:pPr>
              <w:jc w:val="both"/>
              <w:rPr>
                <w:rFonts w:ascii="Book Antiqua" w:hAnsi="Book Antiqua" w:cs="Arial"/>
                <w:b/>
                <w:bCs/>
                <w:sz w:val="24"/>
              </w:rPr>
            </w:pPr>
            <w:r w:rsidRPr="00D859B1">
              <w:rPr>
                <w:rFonts w:ascii="Book Antiqua" w:hAnsi="Book Antiqua" w:cs="Arial"/>
                <w:b/>
                <w:bCs/>
                <w:sz w:val="24"/>
              </w:rPr>
              <w:t>Date Submission</w:t>
            </w:r>
          </w:p>
          <w:p w14:paraId="0C6410AE" w14:textId="037BE9FC" w:rsidR="007E2B34" w:rsidRPr="0084487E" w:rsidRDefault="0084487E" w:rsidP="00792BDB">
            <w:pPr>
              <w:jc w:val="both"/>
              <w:rPr>
                <w:rFonts w:ascii="Book Antiqua" w:hAnsi="Book Antiqua" w:cs="Arial"/>
                <w:szCs w:val="27"/>
              </w:rPr>
            </w:pPr>
            <w:r w:rsidRPr="0084487E">
              <w:rPr>
                <w:rFonts w:ascii="Book Antiqua" w:hAnsi="Book Antiqua" w:cs="Arial"/>
                <w:szCs w:val="27"/>
              </w:rPr>
              <w:t>1 January 2024</w:t>
            </w:r>
          </w:p>
          <w:p w14:paraId="43CC2A69" w14:textId="77777777" w:rsidR="0084487E" w:rsidRPr="007E2B34" w:rsidRDefault="0084487E" w:rsidP="00792BDB">
            <w:pPr>
              <w:jc w:val="both"/>
              <w:rPr>
                <w:rFonts w:ascii="Book Antiqua" w:hAnsi="Book Antiqua" w:cs="Arial"/>
              </w:rPr>
            </w:pPr>
          </w:p>
          <w:p w14:paraId="75E0AA2A" w14:textId="77777777" w:rsidR="007E2B34" w:rsidRPr="00D859B1" w:rsidRDefault="007E2B34" w:rsidP="00792BDB">
            <w:pPr>
              <w:jc w:val="both"/>
              <w:rPr>
                <w:rFonts w:ascii="Book Antiqua" w:hAnsi="Book Antiqua" w:cs="Arial"/>
                <w:b/>
                <w:bCs/>
                <w:sz w:val="24"/>
              </w:rPr>
            </w:pPr>
            <w:r w:rsidRPr="00D859B1">
              <w:rPr>
                <w:rFonts w:ascii="Book Antiqua" w:hAnsi="Book Antiqua" w:cs="Arial"/>
                <w:b/>
                <w:bCs/>
                <w:sz w:val="24"/>
              </w:rPr>
              <w:t>Date Accepted</w:t>
            </w:r>
          </w:p>
          <w:p w14:paraId="46ED0DFC" w14:textId="73A7C640" w:rsidR="007E2B34" w:rsidRPr="007E2B34" w:rsidRDefault="0084487E" w:rsidP="00792BDB">
            <w:pPr>
              <w:jc w:val="both"/>
              <w:rPr>
                <w:rFonts w:ascii="Book Antiqua" w:hAnsi="Book Antiqua" w:cs="Arial"/>
              </w:rPr>
            </w:pPr>
            <w:r>
              <w:rPr>
                <w:rFonts w:ascii="Book Antiqua" w:hAnsi="Book Antiqua" w:cs="Arial"/>
              </w:rPr>
              <w:t>15 January 2024</w:t>
            </w:r>
          </w:p>
          <w:p w14:paraId="0F3E58C9" w14:textId="77777777" w:rsidR="007E2B34" w:rsidRPr="007E2B34" w:rsidRDefault="007E2B34" w:rsidP="00792BDB">
            <w:pPr>
              <w:jc w:val="both"/>
              <w:rPr>
                <w:rFonts w:ascii="Book Antiqua" w:hAnsi="Book Antiqua" w:cs="Arial"/>
              </w:rPr>
            </w:pPr>
          </w:p>
          <w:p w14:paraId="65E0E17F" w14:textId="77777777" w:rsidR="007E2B34" w:rsidRPr="00D859B1" w:rsidRDefault="007E2B34" w:rsidP="00792BDB">
            <w:pPr>
              <w:jc w:val="both"/>
              <w:rPr>
                <w:rFonts w:ascii="Book Antiqua" w:hAnsi="Book Antiqua" w:cs="Arial"/>
                <w:b/>
                <w:bCs/>
                <w:sz w:val="24"/>
              </w:rPr>
            </w:pPr>
            <w:r w:rsidRPr="00D859B1">
              <w:rPr>
                <w:rFonts w:ascii="Book Antiqua" w:hAnsi="Book Antiqua" w:cs="Arial"/>
                <w:b/>
                <w:bCs/>
                <w:sz w:val="24"/>
              </w:rPr>
              <w:t>Date Published</w:t>
            </w:r>
          </w:p>
          <w:p w14:paraId="7F37B41A" w14:textId="200BC984" w:rsidR="007E2B34" w:rsidRDefault="0084487E" w:rsidP="00792BDB">
            <w:pPr>
              <w:jc w:val="both"/>
              <w:rPr>
                <w:rFonts w:ascii="Book Antiqua" w:hAnsi="Book Antiqua" w:cs="Arial"/>
              </w:rPr>
            </w:pPr>
            <w:r>
              <w:rPr>
                <w:rFonts w:ascii="Book Antiqua" w:hAnsi="Book Antiqua" w:cs="Arial"/>
              </w:rPr>
              <w:t xml:space="preserve">31 January 2024 </w:t>
            </w:r>
          </w:p>
          <w:p w14:paraId="17054A06" w14:textId="77777777" w:rsidR="007E2B34" w:rsidRDefault="007E2B34" w:rsidP="00792BDB">
            <w:pPr>
              <w:jc w:val="both"/>
              <w:rPr>
                <w:rFonts w:ascii="Arial" w:hAnsi="Arial" w:cs="Arial"/>
              </w:rPr>
            </w:pPr>
          </w:p>
          <w:p w14:paraId="40F59655" w14:textId="77777777" w:rsidR="007E2B34" w:rsidRPr="00D859B1" w:rsidRDefault="007E2B34" w:rsidP="00792BDB">
            <w:pPr>
              <w:jc w:val="both"/>
              <w:rPr>
                <w:rFonts w:ascii="Book Antiqua" w:hAnsi="Book Antiqua" w:cs="Arial"/>
                <w:b/>
                <w:bCs/>
                <w:sz w:val="24"/>
              </w:rPr>
            </w:pPr>
            <w:r w:rsidRPr="00D859B1">
              <w:rPr>
                <w:rFonts w:ascii="Book Antiqua" w:hAnsi="Book Antiqua" w:cs="Arial"/>
                <w:b/>
                <w:bCs/>
                <w:sz w:val="24"/>
              </w:rPr>
              <w:t>DOI</w:t>
            </w:r>
          </w:p>
          <w:p w14:paraId="2894FFAA" w14:textId="3B253527" w:rsidR="007E2B34" w:rsidRDefault="0084487E" w:rsidP="00792BDB">
            <w:pPr>
              <w:jc w:val="both"/>
              <w:rPr>
                <w:rFonts w:ascii="Book Antiqua" w:hAnsi="Book Antiqua" w:cs="Arial"/>
              </w:rPr>
            </w:pPr>
            <w:r>
              <w:rPr>
                <w:rFonts w:ascii="Book Antiqua" w:hAnsi="Book Antiqua" w:cs="Arial"/>
              </w:rPr>
              <w:t>10.52249</w:t>
            </w:r>
          </w:p>
          <w:p w14:paraId="7720ECDA" w14:textId="77777777" w:rsidR="00735D79" w:rsidRDefault="00735D79" w:rsidP="00792BDB">
            <w:pPr>
              <w:jc w:val="both"/>
              <w:rPr>
                <w:rFonts w:ascii="Arial" w:hAnsi="Arial" w:cs="Arial"/>
              </w:rPr>
            </w:pPr>
          </w:p>
          <w:p w14:paraId="452B6E11" w14:textId="77777777" w:rsidR="00735D79" w:rsidRDefault="00735D79" w:rsidP="00792BDB">
            <w:pPr>
              <w:jc w:val="both"/>
              <w:rPr>
                <w:rFonts w:ascii="Arial" w:hAnsi="Arial" w:cs="Arial"/>
              </w:rPr>
            </w:pPr>
          </w:p>
          <w:p w14:paraId="5636CC88" w14:textId="77777777" w:rsidR="00735D79" w:rsidRPr="0056343E" w:rsidRDefault="00735D79" w:rsidP="000A565A">
            <w:pPr>
              <w:jc w:val="both"/>
              <w:rPr>
                <w:rFonts w:ascii="Arial" w:hAnsi="Arial" w:cs="Arial"/>
              </w:rPr>
            </w:pPr>
          </w:p>
        </w:tc>
        <w:tc>
          <w:tcPr>
            <w:tcW w:w="6327" w:type="dxa"/>
          </w:tcPr>
          <w:p w14:paraId="0F5163B0" w14:textId="77777777" w:rsidR="00AC0A0A" w:rsidRDefault="00AC0A0A" w:rsidP="0056343E">
            <w:pPr>
              <w:ind w:left="167"/>
              <w:jc w:val="both"/>
              <w:rPr>
                <w:rFonts w:ascii="Arial" w:hAnsi="Arial" w:cs="Arial"/>
              </w:rPr>
            </w:pPr>
          </w:p>
          <w:p w14:paraId="7B7C888A" w14:textId="5AF1F689" w:rsidR="00EE5E76" w:rsidRDefault="00D859B1" w:rsidP="00735D79">
            <w:pPr>
              <w:ind w:left="167" w:right="111"/>
              <w:jc w:val="both"/>
              <w:rPr>
                <w:rFonts w:ascii="Book Antiqua" w:eastAsia="Times New Roman" w:hAnsi="Book Antiqua" w:cs="Arial"/>
                <w:b/>
                <w:bCs/>
                <w:sz w:val="28"/>
                <w:szCs w:val="28"/>
                <w:lang w:val="en-US"/>
              </w:rPr>
            </w:pPr>
            <w:r>
              <w:rPr>
                <w:rFonts w:ascii="Book Antiqua" w:eastAsia="Times New Roman" w:hAnsi="Book Antiqua" w:cs="Arial"/>
                <w:b/>
                <w:bCs/>
                <w:sz w:val="28"/>
                <w:szCs w:val="28"/>
                <w:lang w:val="en-US"/>
              </w:rPr>
              <w:t xml:space="preserve">IMPLEMENTASI PERSETUJUAN DPR PADA PEREKRUTAN HAKIM AGUNG BERDASARKAN  UUD RI TAHUN 1945 </w:t>
            </w:r>
          </w:p>
          <w:p w14:paraId="3EC53A30" w14:textId="77777777" w:rsidR="0056343E" w:rsidRDefault="0056343E" w:rsidP="00735D79">
            <w:pPr>
              <w:ind w:left="167" w:right="111"/>
              <w:jc w:val="both"/>
              <w:rPr>
                <w:rFonts w:ascii="Arial" w:hAnsi="Arial" w:cs="Arial"/>
                <w:b/>
                <w:bCs/>
                <w:sz w:val="28"/>
                <w:szCs w:val="28"/>
              </w:rPr>
            </w:pPr>
          </w:p>
          <w:p w14:paraId="144B264B" w14:textId="77777777" w:rsidR="00D859B1" w:rsidRPr="00D859B1" w:rsidRDefault="00D859B1" w:rsidP="00D859B1">
            <w:pPr>
              <w:ind w:left="167" w:right="111"/>
              <w:jc w:val="both"/>
              <w:rPr>
                <w:rFonts w:ascii="Book Antiqua" w:hAnsi="Book Antiqua" w:cs="Arial"/>
                <w:b/>
                <w:bCs/>
                <w:i/>
                <w:sz w:val="24"/>
                <w:szCs w:val="24"/>
              </w:rPr>
            </w:pPr>
            <w:r w:rsidRPr="00D859B1">
              <w:rPr>
                <w:rFonts w:ascii="Book Antiqua" w:hAnsi="Book Antiqua" w:cs="Arial"/>
                <w:b/>
                <w:bCs/>
                <w:i/>
                <w:sz w:val="24"/>
                <w:szCs w:val="24"/>
              </w:rPr>
              <w:t>Abstract</w:t>
            </w:r>
          </w:p>
          <w:p w14:paraId="2208D401" w14:textId="77777777" w:rsidR="00D859B1" w:rsidRPr="00D859B1" w:rsidRDefault="00D859B1" w:rsidP="00D859B1">
            <w:pPr>
              <w:ind w:left="167" w:right="111"/>
              <w:jc w:val="both"/>
              <w:rPr>
                <w:rFonts w:ascii="Book Antiqua" w:hAnsi="Book Antiqua" w:cs="Arial"/>
                <w:bCs/>
                <w:i/>
                <w:szCs w:val="24"/>
              </w:rPr>
            </w:pPr>
            <w:r w:rsidRPr="00D859B1">
              <w:rPr>
                <w:rFonts w:ascii="Book Antiqua" w:hAnsi="Book Antiqua" w:cs="Arial"/>
                <w:bCs/>
                <w:i/>
                <w:szCs w:val="24"/>
              </w:rPr>
              <w:t>The research discusses how to implement DPR approval in the recruitment of Supreme Court Judges based on the 1945 Constitution. The methods used are normative analysis methods, data collection using library techniques, and data analysis techniques using description techniques. The approval mechanism for the appointment of public officials or in this case the recruitment of Supreme Court justices is regulated in Article 6 letter p and Article 191 Paragraphs (1) and (2) in the DPR's rules of conduct. In terms of carrying out this approval, the mechanism is explicitly explained in Chapter XVII of the DPR's rules of conduct.</w:t>
            </w:r>
          </w:p>
          <w:p w14:paraId="1C5B0AF2" w14:textId="47B9EC26" w:rsidR="00D859B1" w:rsidRPr="00D859B1" w:rsidRDefault="00D859B1" w:rsidP="00D859B1">
            <w:pPr>
              <w:ind w:left="167" w:right="111"/>
              <w:jc w:val="both"/>
              <w:rPr>
                <w:rFonts w:ascii="Book Antiqua" w:hAnsi="Book Antiqua" w:cs="Arial"/>
                <w:b/>
                <w:bCs/>
                <w:i/>
                <w:sz w:val="24"/>
                <w:szCs w:val="24"/>
              </w:rPr>
            </w:pPr>
            <w:r w:rsidRPr="00D859B1">
              <w:rPr>
                <w:rFonts w:ascii="Book Antiqua" w:hAnsi="Book Antiqua" w:cs="Arial"/>
                <w:b/>
                <w:bCs/>
                <w:i/>
                <w:sz w:val="24"/>
                <w:szCs w:val="24"/>
              </w:rPr>
              <w:t>Keywords: DPR Approval, Recruitment of Supreme Court Judges, 1945 Constitution</w:t>
            </w:r>
          </w:p>
          <w:p w14:paraId="42A55A14" w14:textId="77777777" w:rsidR="00D859B1" w:rsidRDefault="00D859B1" w:rsidP="00D859B1">
            <w:pPr>
              <w:ind w:left="167" w:right="111"/>
              <w:jc w:val="both"/>
              <w:rPr>
                <w:rFonts w:ascii="Book Antiqua" w:hAnsi="Book Antiqua" w:cs="Arial"/>
                <w:b/>
                <w:bCs/>
                <w:sz w:val="24"/>
                <w:szCs w:val="24"/>
              </w:rPr>
            </w:pPr>
          </w:p>
          <w:p w14:paraId="2C74804D" w14:textId="492615C9" w:rsidR="00EE5E76" w:rsidRPr="00E2220C" w:rsidRDefault="0056343E" w:rsidP="00E2220C">
            <w:pPr>
              <w:ind w:left="167" w:right="111"/>
              <w:jc w:val="both"/>
              <w:rPr>
                <w:rFonts w:ascii="Book Antiqua" w:hAnsi="Book Antiqua" w:cs="Arial"/>
                <w:b/>
                <w:bCs/>
                <w:sz w:val="20"/>
                <w:szCs w:val="20"/>
              </w:rPr>
            </w:pPr>
            <w:r w:rsidRPr="00E2220C">
              <w:rPr>
                <w:rFonts w:ascii="Book Antiqua" w:hAnsi="Book Antiqua" w:cs="Arial"/>
                <w:b/>
                <w:bCs/>
                <w:sz w:val="24"/>
                <w:szCs w:val="24"/>
              </w:rPr>
              <w:t>Abstract</w:t>
            </w:r>
            <w:r w:rsidRPr="0056343E">
              <w:rPr>
                <w:rFonts w:ascii="Book Antiqua" w:hAnsi="Book Antiqua" w:cs="Arial"/>
                <w:b/>
                <w:bCs/>
                <w:sz w:val="20"/>
                <w:szCs w:val="20"/>
              </w:rPr>
              <w:t xml:space="preserve"> </w:t>
            </w:r>
          </w:p>
          <w:p w14:paraId="4C5A4872" w14:textId="3E9A0C8A" w:rsidR="00D859B1" w:rsidRPr="000A565A" w:rsidRDefault="00D859B1" w:rsidP="00D859B1">
            <w:pPr>
              <w:pStyle w:val="NormalWeb"/>
              <w:shd w:val="clear" w:color="auto" w:fill="FFFFFF" w:themeFill="background1"/>
              <w:spacing w:before="0" w:beforeAutospacing="0" w:after="0" w:afterAutospacing="0"/>
              <w:ind w:left="146"/>
              <w:jc w:val="both"/>
              <w:rPr>
                <w:rFonts w:ascii="Book Antiqua" w:hAnsi="Book Antiqua"/>
                <w:sz w:val="22"/>
                <w:szCs w:val="22"/>
                <w:u w:val="single"/>
              </w:rPr>
            </w:pPr>
            <w:r w:rsidRPr="000A565A">
              <w:rPr>
                <w:rFonts w:ascii="Book Antiqua" w:hAnsi="Book Antiqua"/>
                <w:sz w:val="22"/>
                <w:szCs w:val="22"/>
              </w:rPr>
              <w:t xml:space="preserve">Penelitian membahas bagaimana implementasi  persetujuan DPR dalam perekrutan Hakim Agung berdasarkan UUD 1945  </w:t>
            </w:r>
            <w:r w:rsidRPr="000A565A">
              <w:rPr>
                <w:rFonts w:ascii="Book Antiqua" w:hAnsi="Book Antiqua"/>
                <w:sz w:val="22"/>
                <w:szCs w:val="22"/>
                <w:shd w:val="clear" w:color="auto" w:fill="FFFFFF"/>
              </w:rPr>
              <w:t xml:space="preserve">metode yang digunakan ialah </w:t>
            </w:r>
            <w:r w:rsidR="00EE5E76" w:rsidRPr="000A565A">
              <w:rPr>
                <w:rFonts w:ascii="Book Antiqua" w:hAnsi="Book Antiqua"/>
                <w:sz w:val="22"/>
                <w:szCs w:val="22"/>
                <w:shd w:val="clear" w:color="auto" w:fill="FFFFFF"/>
              </w:rPr>
              <w:t>metode normatif analisis, pengumpulan data dengan teknik kepustakaan, dan teknik analisa data menggunakan teknik deskripsi.</w:t>
            </w:r>
            <w:r w:rsidRPr="000A565A">
              <w:rPr>
                <w:rFonts w:ascii="Book Antiqua" w:hAnsi="Book Antiqua"/>
                <w:sz w:val="22"/>
                <w:szCs w:val="22"/>
              </w:rPr>
              <w:t xml:space="preserve"> </w:t>
            </w:r>
            <w:r w:rsidRPr="000A565A">
              <w:rPr>
                <w:rFonts w:ascii="Book Antiqua" w:hAnsi="Book Antiqua"/>
                <w:sz w:val="22"/>
                <w:szCs w:val="22"/>
              </w:rPr>
              <w:t xml:space="preserve">mekanisme persetujuan dalam hal pengangkatan pejabat publik atau dalam hal ini perekrutan hakim agung diatur dalam Pasal 6 huruf p dan Pasal 191 </w:t>
            </w:r>
            <w:r w:rsidRPr="000A565A">
              <w:rPr>
                <w:rFonts w:ascii="Book Antiqua" w:hAnsi="Book Antiqua"/>
                <w:sz w:val="22"/>
                <w:szCs w:val="22"/>
                <w:lang w:val="en-US"/>
              </w:rPr>
              <w:t>A</w:t>
            </w:r>
            <w:r w:rsidRPr="000A565A">
              <w:rPr>
                <w:rFonts w:ascii="Book Antiqua" w:hAnsi="Book Antiqua"/>
                <w:sz w:val="22"/>
                <w:szCs w:val="22"/>
              </w:rPr>
              <w:t>yat (1) dan (2) pada tata tertib DPR. Dalam hal melakukan persetujuan tersebut mekanismenya secara eksplisit dijelaskan pada Bab XVII tata tertib DPR.</w:t>
            </w:r>
          </w:p>
          <w:p w14:paraId="18D7570A" w14:textId="144044BB" w:rsidR="0056343E" w:rsidRPr="0084487E" w:rsidRDefault="00EE5E76" w:rsidP="00E2220C">
            <w:pPr>
              <w:ind w:left="1610" w:right="111" w:hanging="1443"/>
              <w:jc w:val="both"/>
              <w:rPr>
                <w:rFonts w:ascii="Book Antiqua" w:hAnsi="Book Antiqua" w:cs="Arial"/>
                <w:b/>
                <w:sz w:val="24"/>
                <w:szCs w:val="24"/>
              </w:rPr>
            </w:pPr>
            <w:r w:rsidRPr="0084487E">
              <w:rPr>
                <w:rFonts w:ascii="Book Antiqua" w:hAnsi="Book Antiqua" w:cs="Arial"/>
                <w:b/>
                <w:bCs/>
                <w:sz w:val="24"/>
                <w:szCs w:val="24"/>
                <w:shd w:val="clear" w:color="auto" w:fill="FFFFFF"/>
              </w:rPr>
              <w:t>Kata Kunci :</w:t>
            </w:r>
            <w:r w:rsidRPr="0084487E">
              <w:rPr>
                <w:rFonts w:ascii="Book Antiqua" w:hAnsi="Book Antiqua" w:cs="Arial"/>
                <w:b/>
                <w:sz w:val="24"/>
                <w:szCs w:val="24"/>
                <w:shd w:val="clear" w:color="auto" w:fill="FFFFFF"/>
              </w:rPr>
              <w:t xml:space="preserve"> </w:t>
            </w:r>
            <w:r w:rsidRPr="0084487E">
              <w:rPr>
                <w:rFonts w:ascii="Book Antiqua" w:hAnsi="Book Antiqua" w:cs="Times New Roman"/>
                <w:b/>
                <w:sz w:val="24"/>
                <w:szCs w:val="24"/>
                <w:shd w:val="clear" w:color="auto" w:fill="FFFFFF"/>
                <w:lang w:val="en-US"/>
              </w:rPr>
              <w:t>Persetujuan DPR, Perekrutan Hakim Agung, UUD 1945</w:t>
            </w:r>
          </w:p>
        </w:tc>
      </w:tr>
    </w:tbl>
    <w:p w14:paraId="6B1EED5A" w14:textId="10435DBC" w:rsidR="0056343E" w:rsidRPr="00133FCD" w:rsidRDefault="000A565A" w:rsidP="00133FCD">
      <w:pPr>
        <w:spacing w:after="0" w:line="276" w:lineRule="auto"/>
        <w:jc w:val="both"/>
        <w:rPr>
          <w:rFonts w:ascii="Book Antiqua" w:hAnsi="Book Antiqua"/>
          <w:b/>
          <w:bCs/>
          <w:sz w:val="24"/>
          <w:szCs w:val="24"/>
        </w:rPr>
      </w:pPr>
      <w:r>
        <w:rPr>
          <w:rFonts w:ascii="Book Antiqua" w:hAnsi="Book Antiqua"/>
          <w:b/>
          <w:bCs/>
          <w:sz w:val="24"/>
          <w:szCs w:val="24"/>
        </w:rPr>
        <w:t xml:space="preserve">PENDAHULUAN </w:t>
      </w:r>
    </w:p>
    <w:p w14:paraId="472C5186" w14:textId="63BD9E7A" w:rsidR="00EE5E76" w:rsidRPr="00773878" w:rsidRDefault="000A565A" w:rsidP="000A565A">
      <w:pPr>
        <w:shd w:val="clear" w:color="auto" w:fill="FFFFFF" w:themeFill="background1"/>
        <w:spacing w:after="0" w:line="276" w:lineRule="auto"/>
        <w:ind w:firstLine="567"/>
        <w:jc w:val="both"/>
        <w:rPr>
          <w:rFonts w:ascii="Book Antiqua" w:hAnsi="Book Antiqua" w:cs="Times New Roman"/>
        </w:rPr>
      </w:pPr>
      <w:proofErr w:type="gramStart"/>
      <w:r>
        <w:rPr>
          <w:rFonts w:ascii="Book Antiqua" w:hAnsi="Book Antiqua" w:cs="Times New Roman"/>
        </w:rPr>
        <w:t>S</w:t>
      </w:r>
      <w:r w:rsidR="00EE5E76" w:rsidRPr="00773878">
        <w:rPr>
          <w:rFonts w:ascii="Book Antiqua" w:hAnsi="Book Antiqua" w:cs="Times New Roman"/>
        </w:rPr>
        <w:t xml:space="preserve">uatu </w:t>
      </w:r>
      <w:r w:rsidR="00EE5E76" w:rsidRPr="00773878">
        <w:rPr>
          <w:rFonts w:ascii="Book Antiqua" w:hAnsi="Book Antiqua" w:cs="Times New Roman"/>
          <w:lang w:val="en-US"/>
        </w:rPr>
        <w:t>n</w:t>
      </w:r>
      <w:r w:rsidR="00EE5E76" w:rsidRPr="00773878">
        <w:rPr>
          <w:rFonts w:ascii="Book Antiqua" w:hAnsi="Book Antiqua" w:cs="Times New Roman"/>
        </w:rPr>
        <w:t xml:space="preserve">egara terdapat </w:t>
      </w:r>
      <w:r w:rsidR="00EE5E76" w:rsidRPr="00773878">
        <w:rPr>
          <w:rFonts w:ascii="Book Antiqua" w:hAnsi="Book Antiqua" w:cs="Times New Roman"/>
          <w:lang w:val="en-US"/>
        </w:rPr>
        <w:t>3 (</w:t>
      </w:r>
      <w:r w:rsidR="00EE5E76" w:rsidRPr="00773878">
        <w:rPr>
          <w:rFonts w:ascii="Book Antiqua" w:hAnsi="Book Antiqua" w:cs="Times New Roman"/>
        </w:rPr>
        <w:t>tiga</w:t>
      </w:r>
      <w:r w:rsidR="00EE5E76" w:rsidRPr="00773878">
        <w:rPr>
          <w:rFonts w:ascii="Book Antiqua" w:hAnsi="Book Antiqua" w:cs="Times New Roman"/>
          <w:lang w:val="en-US"/>
        </w:rPr>
        <w:t>)</w:t>
      </w:r>
      <w:r w:rsidR="00EE5E76" w:rsidRPr="00773878">
        <w:rPr>
          <w:rFonts w:ascii="Book Antiqua" w:hAnsi="Book Antiqua" w:cs="Times New Roman"/>
        </w:rPr>
        <w:t xml:space="preserve"> jenis kekuasaan, yakni kekuasaan eksekutif, legislatif dan yudikatif.</w:t>
      </w:r>
      <w:proofErr w:type="gramEnd"/>
      <w:r w:rsidR="00EE5E76" w:rsidRPr="00773878">
        <w:rPr>
          <w:rFonts w:ascii="Book Antiqua" w:hAnsi="Book Antiqua" w:cs="Times New Roman"/>
        </w:rPr>
        <w:t xml:space="preserve"> Kekuasaan eksekutif adalah untuk menjalankan atau melaksanakan undang-undang. </w:t>
      </w:r>
      <w:proofErr w:type="gramStart"/>
      <w:r w:rsidR="00EE5E76" w:rsidRPr="00773878">
        <w:rPr>
          <w:rFonts w:ascii="Book Antiqua" w:hAnsi="Book Antiqua" w:cs="Times New Roman"/>
        </w:rPr>
        <w:t>Kekuasaan legislatif adal</w:t>
      </w:r>
      <w:r>
        <w:rPr>
          <w:rFonts w:ascii="Book Antiqua" w:hAnsi="Book Antiqua" w:cs="Times New Roman"/>
        </w:rPr>
        <w:t>ah untuk membuat undang-undang,</w:t>
      </w:r>
      <w:r w:rsidR="00EE5E76" w:rsidRPr="00773878">
        <w:rPr>
          <w:rFonts w:ascii="Book Antiqua" w:hAnsi="Book Antiqua" w:cs="Times New Roman"/>
        </w:rPr>
        <w:t xml:space="preserve"> kekuasaan yudikatif adalah untuk mengontrol apakah undang-undang dijalankan secara benar atau tidak</w:t>
      </w:r>
      <w:r>
        <w:rPr>
          <w:rFonts w:ascii="Book Antiqua" w:hAnsi="Book Antiqua" w:cs="Times New Roman"/>
        </w:rPr>
        <w:t xml:space="preserve"> (Mexsasai Indra, 2011</w:t>
      </w:r>
      <w:r w:rsidR="00F1797A" w:rsidRPr="00773878">
        <w:rPr>
          <w:rFonts w:ascii="Book Antiqua" w:hAnsi="Book Antiqua" w:cs="Times New Roman"/>
        </w:rPr>
        <w:t>)</w:t>
      </w:r>
      <w:r>
        <w:rPr>
          <w:rFonts w:ascii="Book Antiqua" w:hAnsi="Book Antiqua" w:cs="Times New Roman"/>
        </w:rPr>
        <w:t>.</w:t>
      </w:r>
      <w:proofErr w:type="gramEnd"/>
      <w:r>
        <w:rPr>
          <w:rFonts w:ascii="Book Antiqua" w:hAnsi="Book Antiqua" w:cs="Times New Roman"/>
        </w:rPr>
        <w:t xml:space="preserve"> </w:t>
      </w:r>
      <w:r w:rsidR="00EE5E76" w:rsidRPr="00773878">
        <w:rPr>
          <w:rFonts w:ascii="Book Antiqua" w:hAnsi="Book Antiqua" w:cs="Times New Roman"/>
        </w:rPr>
        <w:t xml:space="preserve">Jika kekuasaan legislatif dan eksekutif serta yudikatif dipegang oleh satu badan (organ) kekuasaan, maka tidak </w:t>
      </w:r>
      <w:proofErr w:type="gramStart"/>
      <w:r w:rsidR="00EE5E76" w:rsidRPr="00773878">
        <w:rPr>
          <w:rFonts w:ascii="Book Antiqua" w:hAnsi="Book Antiqua" w:cs="Times New Roman"/>
        </w:rPr>
        <w:t>akan</w:t>
      </w:r>
      <w:proofErr w:type="gramEnd"/>
      <w:r w:rsidR="00EE5E76" w:rsidRPr="00773878">
        <w:rPr>
          <w:rFonts w:ascii="Book Antiqua" w:hAnsi="Book Antiqua" w:cs="Times New Roman"/>
        </w:rPr>
        <w:t xml:space="preserve"> mungkin terlahir kemerdekaan, dan merupakan malapetaka bagi negara yang bersangkutan dan bagi kemerdekaan </w:t>
      </w:r>
      <w:r w:rsidR="00EE5E76" w:rsidRPr="00773878">
        <w:rPr>
          <w:rFonts w:ascii="Book Antiqua" w:hAnsi="Book Antiqua" w:cs="Times New Roman"/>
          <w:i/>
          <w:iCs/>
        </w:rPr>
        <w:t>(liberty)</w:t>
      </w:r>
      <w:r w:rsidR="00EE5E76" w:rsidRPr="00773878">
        <w:rPr>
          <w:rFonts w:ascii="Book Antiqua" w:hAnsi="Book Antiqua" w:cs="Times New Roman"/>
        </w:rPr>
        <w:t xml:space="preserve"> individu</w:t>
      </w:r>
      <w:r w:rsidR="009C00E6" w:rsidRPr="00773878">
        <w:rPr>
          <w:rFonts w:ascii="Book Antiqua" w:hAnsi="Book Antiqua" w:cs="Times New Roman"/>
        </w:rPr>
        <w:t xml:space="preserve"> (Jimly</w:t>
      </w:r>
      <w:r w:rsidR="009C00E6" w:rsidRPr="00773878">
        <w:rPr>
          <w:rFonts w:ascii="Book Antiqua" w:hAnsi="Book Antiqua" w:cs="Times New Roman"/>
          <w:lang w:val="en-US"/>
        </w:rPr>
        <w:t xml:space="preserve"> </w:t>
      </w:r>
      <w:r w:rsidR="009C00E6" w:rsidRPr="00773878">
        <w:rPr>
          <w:rFonts w:ascii="Book Antiqua" w:hAnsi="Book Antiqua" w:cs="Times New Roman"/>
        </w:rPr>
        <w:t>Asshiddiqie</w:t>
      </w:r>
      <w:r w:rsidR="009C00E6" w:rsidRPr="00773878">
        <w:rPr>
          <w:rFonts w:ascii="Book Antiqua" w:hAnsi="Book Antiqua" w:cs="Times New Roman"/>
          <w:lang w:val="en-US"/>
        </w:rPr>
        <w:t xml:space="preserve"> </w:t>
      </w:r>
      <w:r w:rsidR="009C00E6" w:rsidRPr="00773878">
        <w:rPr>
          <w:rFonts w:ascii="Book Antiqua" w:hAnsi="Book Antiqua" w:cs="Times New Roman"/>
        </w:rPr>
        <w:t>2007</w:t>
      </w:r>
      <w:r w:rsidR="009C00E6" w:rsidRPr="00773878">
        <w:rPr>
          <w:rFonts w:ascii="Book Antiqua" w:hAnsi="Book Antiqua" w:cs="Times New Roman"/>
          <w:lang w:val="en-US"/>
        </w:rPr>
        <w:t>)</w:t>
      </w:r>
      <w:r w:rsidR="00EE5E76" w:rsidRPr="00773878">
        <w:rPr>
          <w:rFonts w:ascii="Book Antiqua" w:hAnsi="Book Antiqua" w:cs="Times New Roman"/>
        </w:rPr>
        <w:t xml:space="preserve">. </w:t>
      </w:r>
      <w:proofErr w:type="gramStart"/>
      <w:r w:rsidR="00EE5E76" w:rsidRPr="00773878">
        <w:rPr>
          <w:rFonts w:ascii="Book Antiqua" w:hAnsi="Book Antiqua" w:cs="Times New Roman"/>
        </w:rPr>
        <w:t>Prinsip pemisahan kekuasaan dan “</w:t>
      </w:r>
      <w:r w:rsidR="00EE5E76" w:rsidRPr="00773878">
        <w:rPr>
          <w:rFonts w:ascii="Book Antiqua" w:hAnsi="Book Antiqua" w:cs="Times New Roman"/>
          <w:i/>
          <w:iCs/>
        </w:rPr>
        <w:t>check and balance</w:t>
      </w:r>
      <w:r w:rsidR="00EE5E76" w:rsidRPr="00773878">
        <w:rPr>
          <w:rFonts w:ascii="Times New Roman" w:hAnsi="Times New Roman" w:cs="Times New Roman"/>
          <w:i/>
          <w:iCs/>
        </w:rPr>
        <w:t>‟</w:t>
      </w:r>
      <w:r w:rsidR="009C00E6" w:rsidRPr="00773878">
        <w:rPr>
          <w:rFonts w:ascii="Book Antiqua" w:hAnsi="Book Antiqua" w:cs="Times New Roman"/>
        </w:rPr>
        <w:t xml:space="preserve"> </w:t>
      </w:r>
      <w:r w:rsidR="00EE5E76" w:rsidRPr="00773878">
        <w:rPr>
          <w:rFonts w:ascii="Book Antiqua" w:hAnsi="Book Antiqua" w:cs="Times New Roman"/>
        </w:rPr>
        <w:t>dimaksudkan sebagai prinsip-prinsip yang dapat mencegah konsentrasi kekuasaan dibawah satu tangan atau organ dan mencegah adanya campur tangan antara badan organ negara, sehingga masing-masing dapat menjalankan fungsinya sebagaimana diatur dalam konstitusi negara yang bersangkutan</w:t>
      </w:r>
      <w:r>
        <w:rPr>
          <w:rFonts w:ascii="Book Antiqua" w:hAnsi="Book Antiqua" w:cs="Times New Roman"/>
        </w:rPr>
        <w:t xml:space="preserve"> (Romi Librayan</w:t>
      </w:r>
      <w:bookmarkStart w:id="0" w:name="_GoBack"/>
      <w:bookmarkEnd w:id="0"/>
      <w:r>
        <w:rPr>
          <w:rFonts w:ascii="Book Antiqua" w:hAnsi="Book Antiqua" w:cs="Times New Roman"/>
        </w:rPr>
        <w:t>to, 2008</w:t>
      </w:r>
      <w:r w:rsidR="009C00E6" w:rsidRPr="00773878">
        <w:rPr>
          <w:rFonts w:ascii="Book Antiqua" w:hAnsi="Book Antiqua" w:cs="Times New Roman"/>
        </w:rPr>
        <w:t>)</w:t>
      </w:r>
      <w:r w:rsidR="00EE5E76" w:rsidRPr="00773878">
        <w:rPr>
          <w:rFonts w:ascii="Book Antiqua" w:hAnsi="Book Antiqua" w:cs="Times New Roman"/>
        </w:rPr>
        <w:t>.</w:t>
      </w:r>
      <w:proofErr w:type="gramEnd"/>
      <w:r w:rsidR="00EE5E76" w:rsidRPr="00773878">
        <w:rPr>
          <w:rFonts w:ascii="Book Antiqua" w:hAnsi="Book Antiqua" w:cs="Times New Roman"/>
        </w:rPr>
        <w:t xml:space="preserve"> </w:t>
      </w:r>
    </w:p>
    <w:p w14:paraId="61A4F341" w14:textId="379F9F74" w:rsidR="00EE5E76" w:rsidRPr="00773878" w:rsidRDefault="00EE5E76" w:rsidP="000A565A">
      <w:pPr>
        <w:shd w:val="clear" w:color="auto" w:fill="FFFFFF" w:themeFill="background1"/>
        <w:spacing w:after="0" w:line="276" w:lineRule="auto"/>
        <w:ind w:firstLine="567"/>
        <w:jc w:val="both"/>
        <w:rPr>
          <w:rFonts w:ascii="Book Antiqua" w:hAnsi="Book Antiqua" w:cs="Times New Roman"/>
        </w:rPr>
      </w:pPr>
      <w:r w:rsidRPr="00773878">
        <w:rPr>
          <w:rFonts w:ascii="Book Antiqua" w:hAnsi="Book Antiqua" w:cs="Times New Roman"/>
        </w:rPr>
        <w:lastRenderedPageBreak/>
        <w:t>Untuk mencegah jangan sampai kekuasaan legislatif yang dijalankan oleh parlemen memiliki kekuasaan yang melebihi badan (organ) lainnya, dapat dibuat kerja sama antar</w:t>
      </w:r>
      <w:r w:rsidRPr="00773878">
        <w:rPr>
          <w:rFonts w:ascii="Book Antiqua" w:hAnsi="Book Antiqua" w:cs="Times New Roman"/>
          <w:lang w:val="en-US"/>
        </w:rPr>
        <w:t xml:space="preserve"> </w:t>
      </w:r>
      <w:r w:rsidRPr="00773878">
        <w:rPr>
          <w:rFonts w:ascii="Book Antiqua" w:hAnsi="Book Antiqua" w:cs="Times New Roman"/>
        </w:rPr>
        <w:t>lembaga kekuasan negara, misalnya antara parlemen dengan pemerintah (presiden) dalam pembuatan suatu undang-undang</w:t>
      </w:r>
      <w:r w:rsidR="009C00E6" w:rsidRPr="00773878">
        <w:rPr>
          <w:rFonts w:ascii="Book Antiqua" w:hAnsi="Book Antiqua" w:cs="Times New Roman"/>
        </w:rPr>
        <w:t xml:space="preserve"> (Titik Triwulan Tutik, 2008)</w:t>
      </w:r>
      <w:r w:rsidR="000A565A">
        <w:rPr>
          <w:rFonts w:ascii="Book Antiqua" w:hAnsi="Book Antiqua" w:cs="Times New Roman"/>
        </w:rPr>
        <w:t xml:space="preserve">, </w:t>
      </w:r>
      <w:r w:rsidRPr="00773878">
        <w:rPr>
          <w:rFonts w:ascii="Book Antiqua" w:hAnsi="Book Antiqua" w:cs="Times New Roman"/>
        </w:rPr>
        <w:t>untuk mencegah kekuasaan eksekutif memiliki kekuasaan badan (organ) lainnya misalnya dengan memberikan kewenangan kepada lembaga legislatif di samping sebagai pembuat undang-undang, juga sebagai lembaga “</w:t>
      </w:r>
      <w:r w:rsidRPr="00773878">
        <w:rPr>
          <w:rFonts w:ascii="Book Antiqua" w:hAnsi="Book Antiqua" w:cs="Times New Roman"/>
          <w:i/>
          <w:iCs/>
        </w:rPr>
        <w:t>pengawasan</w:t>
      </w:r>
      <w:r w:rsidRPr="00773878">
        <w:rPr>
          <w:rFonts w:ascii="Book Antiqua" w:hAnsi="Book Antiqua" w:cs="Times New Roman"/>
          <w:i/>
          <w:iCs/>
          <w:lang w:val="en-US"/>
        </w:rPr>
        <w:t>”</w:t>
      </w:r>
      <w:r w:rsidRPr="00773878">
        <w:rPr>
          <w:rFonts w:ascii="Book Antiqua" w:hAnsi="Book Antiqua" w:cs="Times New Roman"/>
          <w:i/>
          <w:iCs/>
        </w:rPr>
        <w:t xml:space="preserve">  </w:t>
      </w:r>
      <w:r w:rsidRPr="00773878">
        <w:rPr>
          <w:rFonts w:ascii="Book Antiqua" w:hAnsi="Book Antiqua" w:cs="Times New Roman"/>
        </w:rPr>
        <w:t>terhadap pemerintah, pemberi persetujuan, serta pemberi pertimbangan untuk beberapa keputusan yang diambil oleh pemerintah, seperti pengangkatan pejabat negara tertentu</w:t>
      </w:r>
      <w:r w:rsidR="000A565A">
        <w:rPr>
          <w:rFonts w:ascii="Book Antiqua" w:hAnsi="Book Antiqua" w:cs="Times New Roman"/>
        </w:rPr>
        <w:t xml:space="preserve"> (Zainal Arifin Hoesein, 2009</w:t>
      </w:r>
      <w:r w:rsidR="00F1797A" w:rsidRPr="00773878">
        <w:rPr>
          <w:rFonts w:ascii="Book Antiqua" w:hAnsi="Book Antiqua" w:cs="Times New Roman"/>
        </w:rPr>
        <w:t>)</w:t>
      </w:r>
      <w:r w:rsidRPr="00773878">
        <w:rPr>
          <w:rFonts w:ascii="Book Antiqua" w:hAnsi="Book Antiqua" w:cs="Times New Roman"/>
        </w:rPr>
        <w:t>.</w:t>
      </w:r>
      <w:r w:rsidR="00F1797A" w:rsidRPr="00773878">
        <w:rPr>
          <w:rFonts w:ascii="Book Antiqua" w:hAnsi="Book Antiqua" w:cs="Times New Roman"/>
        </w:rPr>
        <w:t xml:space="preserve"> </w:t>
      </w:r>
      <w:r w:rsidRPr="00773878">
        <w:rPr>
          <w:rFonts w:ascii="Book Antiqua" w:hAnsi="Book Antiqua" w:cs="Times New Roman"/>
        </w:rPr>
        <w:t xml:space="preserve">Selain tiga poros kekuasaan tersebut, ternyata di </w:t>
      </w:r>
      <w:proofErr w:type="gramStart"/>
      <w:r w:rsidRPr="00773878">
        <w:rPr>
          <w:rFonts w:ascii="Book Antiqua" w:hAnsi="Book Antiqua" w:cs="Times New Roman"/>
        </w:rPr>
        <w:t>indonesia</w:t>
      </w:r>
      <w:proofErr w:type="gramEnd"/>
      <w:r w:rsidRPr="00773878">
        <w:rPr>
          <w:rFonts w:ascii="Book Antiqua" w:hAnsi="Book Antiqua" w:cs="Times New Roman"/>
        </w:rPr>
        <w:t xml:space="preserve"> masih dikenal berbagai macam organ/lembaga negara dalam perkembangannya yang domain kekuasaannya cenderung masuk dalam domain kekuasaan yudikatif yang lazim penyebutannya diawali dengan kata komisi</w:t>
      </w:r>
      <w:r w:rsidR="000A565A">
        <w:rPr>
          <w:rFonts w:ascii="Book Antiqua" w:hAnsi="Book Antiqua" w:cs="Times New Roman"/>
        </w:rPr>
        <w:t xml:space="preserve"> (Mexsasai Indra, 2011</w:t>
      </w:r>
      <w:r w:rsidR="009C00E6" w:rsidRPr="00773878">
        <w:rPr>
          <w:rFonts w:ascii="Book Antiqua" w:hAnsi="Book Antiqua" w:cs="Times New Roman"/>
        </w:rPr>
        <w:t>).</w:t>
      </w:r>
    </w:p>
    <w:p w14:paraId="1014F2E9" w14:textId="331BF1CD" w:rsidR="00EE5E76" w:rsidRPr="00773878" w:rsidRDefault="00EE5E76" w:rsidP="000A565A">
      <w:pPr>
        <w:shd w:val="clear" w:color="auto" w:fill="FFFFFF" w:themeFill="background1"/>
        <w:spacing w:after="0" w:line="276" w:lineRule="auto"/>
        <w:ind w:firstLine="567"/>
        <w:jc w:val="both"/>
        <w:rPr>
          <w:rFonts w:ascii="Book Antiqua" w:hAnsi="Book Antiqua" w:cs="Times New Roman"/>
        </w:rPr>
      </w:pPr>
      <w:proofErr w:type="gramStart"/>
      <w:r w:rsidRPr="00773878">
        <w:rPr>
          <w:rFonts w:ascii="Book Antiqua" w:hAnsi="Book Antiqua" w:cs="Times New Roman"/>
        </w:rPr>
        <w:t>Gagasan tentang lembaga khusus yang mempunyai fungsi tertentu dalam ranah kekuasaan kehakiman sebenarnya bukanlah sesuatu yang baru.</w:t>
      </w:r>
      <w:proofErr w:type="gramEnd"/>
      <w:r w:rsidRPr="00773878">
        <w:rPr>
          <w:rFonts w:ascii="Book Antiqua" w:hAnsi="Book Antiqua" w:cs="Times New Roman"/>
        </w:rPr>
        <w:t xml:space="preserve"> Dalam pembahasan rancangan undang-undang (RUU) ketentuan-ketentuan pokok kekuasaan kehakiman tahun 1968 misalnya, sempat diusulkan pembentukan lembaga yang diberi </w:t>
      </w:r>
      <w:proofErr w:type="gramStart"/>
      <w:r w:rsidRPr="00773878">
        <w:rPr>
          <w:rFonts w:ascii="Book Antiqua" w:hAnsi="Book Antiqua" w:cs="Times New Roman"/>
        </w:rPr>
        <w:t>nama</w:t>
      </w:r>
      <w:proofErr w:type="gramEnd"/>
      <w:r w:rsidRPr="00773878">
        <w:rPr>
          <w:rFonts w:ascii="Book Antiqua" w:hAnsi="Book Antiqua" w:cs="Times New Roman"/>
        </w:rPr>
        <w:t xml:space="preserve"> Majelis Pertimbangan Penelitian Hakim</w:t>
      </w:r>
      <w:r w:rsidR="000A565A">
        <w:rPr>
          <w:rFonts w:ascii="Book Antiqua" w:hAnsi="Book Antiqua" w:cs="Times New Roman"/>
        </w:rPr>
        <w:t xml:space="preserve"> (Moh Kusnardi, 1983</w:t>
      </w:r>
      <w:r w:rsidR="002C3D29" w:rsidRPr="00773878">
        <w:rPr>
          <w:rFonts w:ascii="Book Antiqua" w:hAnsi="Book Antiqua" w:cs="Times New Roman"/>
        </w:rPr>
        <w:t>)</w:t>
      </w:r>
      <w:r w:rsidRPr="00773878">
        <w:rPr>
          <w:rFonts w:ascii="Book Antiqua" w:hAnsi="Book Antiqua" w:cs="Times New Roman"/>
        </w:rPr>
        <w:t xml:space="preserve">. </w:t>
      </w:r>
      <w:proofErr w:type="gramStart"/>
      <w:r w:rsidRPr="00773878">
        <w:rPr>
          <w:rFonts w:ascii="Book Antiqua" w:hAnsi="Book Antiqua" w:cs="Times New Roman"/>
        </w:rPr>
        <w:t>Majelis ini diharapkan berfungsi memberikan pertimbangan dan mengambil keputusan terakhir mengenai saran-saran dan/atau usul-usul yang berkenan dengan pengakatan, pemberhentian dan tindakan/hukuman jabatan para hakim yang diajukan, baik oleh Mahkamah Agung maupun oleh Menteri Kehakiman</w:t>
      </w:r>
      <w:r w:rsidR="000A565A">
        <w:rPr>
          <w:rFonts w:ascii="Book Antiqua" w:hAnsi="Book Antiqua" w:cs="Times New Roman"/>
        </w:rPr>
        <w:t xml:space="preserve"> (A.Ahsin Thohari, 2004</w:t>
      </w:r>
      <w:r w:rsidR="009C00E6" w:rsidRPr="00773878">
        <w:rPr>
          <w:rFonts w:ascii="Book Antiqua" w:hAnsi="Book Antiqua" w:cs="Times New Roman"/>
        </w:rPr>
        <w:t>)</w:t>
      </w:r>
      <w:r w:rsidRPr="00773878">
        <w:rPr>
          <w:rFonts w:ascii="Book Antiqua" w:hAnsi="Book Antiqua" w:cs="Times New Roman"/>
        </w:rPr>
        <w:t>.</w:t>
      </w:r>
      <w:proofErr w:type="gramEnd"/>
      <w:r w:rsidRPr="00773878">
        <w:rPr>
          <w:rFonts w:ascii="Book Antiqua" w:hAnsi="Book Antiqua" w:cs="Times New Roman"/>
        </w:rPr>
        <w:t xml:space="preserve"> Namun, ide tersebut menemui kegagalan sehingga tidak berhasil menjadi materi muatan Undang-Undang Nomor 14 Tahun 1970 tentang Ketentuan-ketentuan Pokok Kekuasaan Kehakiman. Sewaktu terjadi proses reformasi di tahun 1998 gagasan perlunya lembaga khusus yang mempunyai fungsi-fungsi tertentu dalam bagian penjelasan umum Undang-Undang Nomor 35 Tahun 1999 tentang perubahan atas Undang-Undang Nomor 14 Tahun 1970 tentang Ketentuan-Ketentuan Pokok kekuasaan Kehakiman menyebutkan bahwa untuk meningkatkan </w:t>
      </w:r>
      <w:r w:rsidRPr="00F078AA">
        <w:rPr>
          <w:rFonts w:ascii="Book Antiqua" w:hAnsi="Book Antiqua" w:cs="Times New Roman"/>
        </w:rPr>
        <w:t>“check and balance”</w:t>
      </w:r>
      <w:r w:rsidRPr="00773878">
        <w:rPr>
          <w:rFonts w:ascii="Book Antiqua" w:hAnsi="Book Antiqua" w:cs="Times New Roman"/>
          <w:i/>
          <w:iCs/>
        </w:rPr>
        <w:t xml:space="preserve"> </w:t>
      </w:r>
      <w:r w:rsidRPr="00773878">
        <w:rPr>
          <w:rFonts w:ascii="Book Antiqua" w:hAnsi="Book Antiqua" w:cs="Times New Roman"/>
        </w:rPr>
        <w:t xml:space="preserve">terhadap lembaga peradilan antara lain perlu diusahakan agar putusan-putusan pengadilan dapat diketahui secara terbuka dan transparan oleh </w:t>
      </w:r>
      <w:r w:rsidR="002C3D29" w:rsidRPr="00773878">
        <w:rPr>
          <w:rFonts w:ascii="Book Antiqua" w:hAnsi="Book Antiqua" w:cs="Times New Roman"/>
        </w:rPr>
        <w:t>Masyarakat (Mahmuzar</w:t>
      </w:r>
      <w:r w:rsidR="002C3D29" w:rsidRPr="00773878">
        <w:rPr>
          <w:rFonts w:ascii="Book Antiqua" w:hAnsi="Book Antiqua" w:cs="Times New Roman"/>
          <w:lang w:val="en-US"/>
        </w:rPr>
        <w:t xml:space="preserve">, </w:t>
      </w:r>
      <w:r w:rsidR="002C3D29" w:rsidRPr="00773878">
        <w:rPr>
          <w:rFonts w:ascii="Book Antiqua" w:hAnsi="Book Antiqua" w:cs="Times New Roman"/>
        </w:rPr>
        <w:t>2010</w:t>
      </w:r>
      <w:r w:rsidR="002C3D29" w:rsidRPr="00773878">
        <w:rPr>
          <w:rFonts w:ascii="Book Antiqua" w:hAnsi="Book Antiqua" w:cs="Times New Roman"/>
          <w:lang w:val="en-US"/>
        </w:rPr>
        <w:t>: 29)</w:t>
      </w:r>
      <w:r w:rsidRPr="00773878">
        <w:rPr>
          <w:rFonts w:ascii="Book Antiqua" w:hAnsi="Book Antiqua" w:cs="Times New Roman"/>
        </w:rPr>
        <w:t xml:space="preserve">. Selain itu perlu dibentuk Dewan Kehormatan Hakim yang berwenang mengawasi perilaku hakim, memberikan rekomendasi mengenai perekrutan, promosi dan mutasi hakim serta menyusun kode etik bagi para hakim. Ketika proses amandemen Undang-Undang Dasar Negara Republik Indonesia 1945 selanjutnya disebut UUD 1945 dilakukan, gagasan mewujudkan lembaga khusus sebagai pengawas eksternal badan peradilan demi untuk menegakkan kewibawaan peradilan semakin mendapatkan perhatian yang sangat serius dari para wakil rakyat di Dewan Perwakilan Rakyat selanjutnya disebut DPR RI. </w:t>
      </w:r>
      <w:proofErr w:type="gramStart"/>
      <w:r w:rsidRPr="00773878">
        <w:rPr>
          <w:rFonts w:ascii="Book Antiqua" w:hAnsi="Book Antiqua" w:cs="Times New Roman"/>
        </w:rPr>
        <w:t>Melalui amandemen ketiga UUD 1945 pada tahun 2001 disepakati tentang pembentukan Komisi Yudisial</w:t>
      </w:r>
      <w:r w:rsidR="002C3D29" w:rsidRPr="00773878">
        <w:rPr>
          <w:rFonts w:ascii="Book Antiqua" w:hAnsi="Book Antiqua" w:cs="Times New Roman"/>
        </w:rPr>
        <w:t xml:space="preserve"> (Inu Kencana Syafii</w:t>
      </w:r>
      <w:r w:rsidR="002C3D29" w:rsidRPr="00773878">
        <w:rPr>
          <w:rFonts w:ascii="Book Antiqua" w:hAnsi="Book Antiqua" w:cs="Times New Roman"/>
          <w:lang w:val="en-US"/>
        </w:rPr>
        <w:t xml:space="preserve">, </w:t>
      </w:r>
      <w:r w:rsidR="000A565A">
        <w:rPr>
          <w:rFonts w:ascii="Book Antiqua" w:hAnsi="Book Antiqua" w:cs="Times New Roman"/>
        </w:rPr>
        <w:t>2005</w:t>
      </w:r>
      <w:r w:rsidR="002C3D29" w:rsidRPr="00773878">
        <w:rPr>
          <w:rFonts w:ascii="Book Antiqua" w:hAnsi="Book Antiqua" w:cs="Times New Roman"/>
        </w:rPr>
        <w:t>)</w:t>
      </w:r>
      <w:r w:rsidRPr="00773878">
        <w:rPr>
          <w:rFonts w:ascii="Book Antiqua" w:hAnsi="Book Antiqua" w:cs="Times New Roman"/>
        </w:rPr>
        <w:t>.</w:t>
      </w:r>
      <w:proofErr w:type="gramEnd"/>
    </w:p>
    <w:p w14:paraId="0EB79683" w14:textId="2A3FC67F" w:rsidR="00EE5E76" w:rsidRPr="00773878" w:rsidRDefault="00EE5E76" w:rsidP="000A565A">
      <w:pPr>
        <w:shd w:val="clear" w:color="auto" w:fill="FFFFFF" w:themeFill="background1"/>
        <w:spacing w:after="0" w:line="276" w:lineRule="auto"/>
        <w:ind w:firstLine="567"/>
        <w:jc w:val="both"/>
        <w:rPr>
          <w:rFonts w:ascii="Book Antiqua" w:hAnsi="Book Antiqua" w:cs="Times New Roman"/>
          <w:i/>
          <w:iCs/>
        </w:rPr>
      </w:pPr>
      <w:r w:rsidRPr="00773878">
        <w:rPr>
          <w:rFonts w:ascii="Book Antiqua" w:hAnsi="Book Antiqua" w:cs="Times New Roman"/>
        </w:rPr>
        <w:t xml:space="preserve">Keberadaan Komisi Yudisial merupakan organ/lembaga </w:t>
      </w:r>
      <w:r w:rsidRPr="00773878">
        <w:rPr>
          <w:rFonts w:ascii="Book Antiqua" w:hAnsi="Book Antiqua" w:cs="Times New Roman"/>
          <w:lang w:val="en-US"/>
        </w:rPr>
        <w:t>n</w:t>
      </w:r>
      <w:r w:rsidRPr="00773878">
        <w:rPr>
          <w:rFonts w:ascii="Book Antiqua" w:hAnsi="Book Antiqua" w:cs="Times New Roman"/>
        </w:rPr>
        <w:t>egara yang berada didalam lingkup kekuasaan yudikatif, diatur dalam Undang</w:t>
      </w:r>
      <w:r w:rsidRPr="00773878">
        <w:rPr>
          <w:rFonts w:ascii="Book Antiqua" w:hAnsi="Book Antiqua" w:cs="Times New Roman"/>
          <w:lang w:val="en-US"/>
        </w:rPr>
        <w:t>-</w:t>
      </w:r>
      <w:r w:rsidRPr="00773878">
        <w:rPr>
          <w:rFonts w:ascii="Book Antiqua" w:hAnsi="Book Antiqua" w:cs="Times New Roman"/>
        </w:rPr>
        <w:t xml:space="preserve">Undang Dasar Republik Indonesia Tahun </w:t>
      </w:r>
      <w:proofErr w:type="gramStart"/>
      <w:r w:rsidRPr="00773878">
        <w:rPr>
          <w:rFonts w:ascii="Book Antiqua" w:hAnsi="Book Antiqua" w:cs="Times New Roman"/>
        </w:rPr>
        <w:t>1945  Pasal</w:t>
      </w:r>
      <w:proofErr w:type="gramEnd"/>
      <w:r w:rsidRPr="00773878">
        <w:rPr>
          <w:rFonts w:ascii="Book Antiqua" w:hAnsi="Book Antiqua" w:cs="Times New Roman"/>
        </w:rPr>
        <w:t xml:space="preserve"> 24B </w:t>
      </w:r>
      <w:r w:rsidRPr="00773878">
        <w:rPr>
          <w:rFonts w:ascii="Book Antiqua" w:hAnsi="Book Antiqua" w:cs="Times New Roman"/>
          <w:lang w:val="en-US"/>
        </w:rPr>
        <w:t>A</w:t>
      </w:r>
      <w:r w:rsidRPr="00773878">
        <w:rPr>
          <w:rFonts w:ascii="Book Antiqua" w:hAnsi="Book Antiqua" w:cs="Times New Roman"/>
        </w:rPr>
        <w:t xml:space="preserve">yat (1) yang menyebutkan: </w:t>
      </w:r>
      <w:r w:rsidRPr="00F078AA">
        <w:rPr>
          <w:rFonts w:ascii="Book Antiqua" w:hAnsi="Book Antiqua" w:cs="Times New Roman"/>
        </w:rPr>
        <w:t xml:space="preserve">“Komisi Yudisial bersifat mandiri yang berwenang mengusulkan pengangkatan hakim agung dan mempunyai wewenang lain dalam rangka menjaga dan menegakkan kehormatan, keluhuran martabat, serta perilaku </w:t>
      </w:r>
      <w:r w:rsidRPr="00F078AA">
        <w:rPr>
          <w:rFonts w:ascii="Book Antiqua" w:hAnsi="Book Antiqua" w:cs="Times New Roman"/>
        </w:rPr>
        <w:lastRenderedPageBreak/>
        <w:t>hakim”.</w:t>
      </w:r>
      <w:r w:rsidRPr="00773878">
        <w:rPr>
          <w:rFonts w:ascii="Book Antiqua" w:hAnsi="Book Antiqua" w:cs="Times New Roman"/>
          <w:i/>
          <w:iCs/>
          <w:lang w:val="en-US"/>
        </w:rPr>
        <w:t xml:space="preserve"> </w:t>
      </w:r>
      <w:r w:rsidRPr="00773878">
        <w:rPr>
          <w:rFonts w:ascii="Book Antiqua" w:hAnsi="Book Antiqua" w:cs="Times New Roman"/>
        </w:rPr>
        <w:t>Meskipun Komisi Yudisial merupakan organ/lembaga yang berada dalam lingkup kekuasaan kehakiman tetapi Komisi Yudisial bukanlah lembaga/organ negara yang melaksanakan/pelaku kekuasaan kehakiman seperti Mahkamah Konstitusi dan Mahkamah Agung</w:t>
      </w:r>
      <w:r w:rsidRPr="00773878">
        <w:rPr>
          <w:rFonts w:ascii="Book Antiqua" w:hAnsi="Book Antiqua" w:cs="Times New Roman"/>
          <w:lang w:val="en-US"/>
        </w:rPr>
        <w:t>,</w:t>
      </w:r>
      <w:r w:rsidRPr="00773878">
        <w:rPr>
          <w:rFonts w:ascii="Book Antiqua" w:hAnsi="Book Antiqua" w:cs="Times New Roman"/>
        </w:rPr>
        <w:t xml:space="preserve"> karena fungsi dan kewenangan Komisi Yudisial bukanlah organ/lembaga negara yang menegakkan aturan </w:t>
      </w:r>
      <w:r w:rsidRPr="00F078AA">
        <w:rPr>
          <w:rFonts w:ascii="Book Antiqua" w:hAnsi="Book Antiqua" w:cs="Times New Roman"/>
        </w:rPr>
        <w:t>hukum (code of law)</w:t>
      </w:r>
      <w:r w:rsidRPr="00773878">
        <w:rPr>
          <w:rFonts w:ascii="Book Antiqua" w:hAnsi="Book Antiqua" w:cs="Times New Roman"/>
        </w:rPr>
        <w:t xml:space="preserve"> tetapi lebih kepada penegakan etika (</w:t>
      </w:r>
      <w:r w:rsidRPr="00F078AA">
        <w:rPr>
          <w:rFonts w:ascii="Book Antiqua" w:hAnsi="Book Antiqua" w:cs="Times New Roman"/>
          <w:iCs/>
        </w:rPr>
        <w:t>code of etic)</w:t>
      </w:r>
      <w:r w:rsidRPr="00773878">
        <w:rPr>
          <w:rFonts w:ascii="Book Antiqua" w:hAnsi="Book Antiqua" w:cs="Times New Roman"/>
        </w:rPr>
        <w:t xml:space="preserve"> perilaku hakim dalam rangka menjaga kesucian dan keluhuran martabat hakim</w:t>
      </w:r>
      <w:r w:rsidR="000A565A">
        <w:rPr>
          <w:rFonts w:ascii="Book Antiqua" w:hAnsi="Book Antiqua" w:cs="Times New Roman"/>
        </w:rPr>
        <w:t xml:space="preserve"> (Mexsasai Indra, 2011</w:t>
      </w:r>
      <w:r w:rsidR="009C00E6" w:rsidRPr="00773878">
        <w:rPr>
          <w:rFonts w:ascii="Book Antiqua" w:hAnsi="Book Antiqua" w:cs="Times New Roman"/>
        </w:rPr>
        <w:t>).</w:t>
      </w:r>
    </w:p>
    <w:p w14:paraId="3415C61B" w14:textId="77777777" w:rsidR="00EE5E76" w:rsidRPr="00F078AA" w:rsidRDefault="00EE5E76" w:rsidP="000A565A">
      <w:pPr>
        <w:shd w:val="clear" w:color="auto" w:fill="FFFFFF" w:themeFill="background1"/>
        <w:spacing w:after="0" w:line="276" w:lineRule="auto"/>
        <w:ind w:firstLine="567"/>
        <w:jc w:val="both"/>
        <w:rPr>
          <w:rFonts w:ascii="Book Antiqua" w:hAnsi="Book Antiqua" w:cs="Times New Roman"/>
        </w:rPr>
      </w:pPr>
      <w:r w:rsidRPr="00773878">
        <w:rPr>
          <w:rFonts w:ascii="Book Antiqua" w:hAnsi="Book Antiqua" w:cs="Times New Roman"/>
        </w:rPr>
        <w:t xml:space="preserve">Berdasarkan konstitusi, proses perekrutan hakim agung </w:t>
      </w:r>
      <w:proofErr w:type="gramStart"/>
      <w:r w:rsidRPr="00773878">
        <w:rPr>
          <w:rFonts w:ascii="Book Antiqua" w:hAnsi="Book Antiqua" w:cs="Times New Roman"/>
        </w:rPr>
        <w:t xml:space="preserve">memang  </w:t>
      </w:r>
      <w:r w:rsidRPr="00773878">
        <w:rPr>
          <w:rFonts w:ascii="Book Antiqua" w:hAnsi="Book Antiqua" w:cs="Times New Roman"/>
          <w:lang w:val="en-US"/>
        </w:rPr>
        <w:t>m</w:t>
      </w:r>
      <w:r w:rsidRPr="00773878">
        <w:rPr>
          <w:rFonts w:ascii="Book Antiqua" w:hAnsi="Book Antiqua" w:cs="Times New Roman"/>
        </w:rPr>
        <w:t>elibatkan</w:t>
      </w:r>
      <w:proofErr w:type="gramEnd"/>
      <w:r w:rsidRPr="00773878">
        <w:rPr>
          <w:rFonts w:ascii="Book Antiqua" w:hAnsi="Book Antiqua" w:cs="Times New Roman"/>
        </w:rPr>
        <w:t xml:space="preserve"> </w:t>
      </w:r>
      <w:r w:rsidRPr="00773878">
        <w:rPr>
          <w:rFonts w:ascii="Book Antiqua" w:hAnsi="Book Antiqua" w:cs="Times New Roman"/>
          <w:lang w:val="en-US"/>
        </w:rPr>
        <w:t>3 (</w:t>
      </w:r>
      <w:r w:rsidRPr="00773878">
        <w:rPr>
          <w:rFonts w:ascii="Book Antiqua" w:hAnsi="Book Antiqua" w:cs="Times New Roman"/>
        </w:rPr>
        <w:t>tiga</w:t>
      </w:r>
      <w:r w:rsidRPr="00773878">
        <w:rPr>
          <w:rFonts w:ascii="Book Antiqua" w:hAnsi="Book Antiqua" w:cs="Times New Roman"/>
          <w:lang w:val="en-US"/>
        </w:rPr>
        <w:t>)</w:t>
      </w:r>
      <w:r w:rsidRPr="00773878">
        <w:rPr>
          <w:rFonts w:ascii="Book Antiqua" w:hAnsi="Book Antiqua" w:cs="Times New Roman"/>
        </w:rPr>
        <w:t xml:space="preserve"> lembaga</w:t>
      </w:r>
      <w:r w:rsidRPr="00773878">
        <w:rPr>
          <w:rFonts w:ascii="Book Antiqua" w:hAnsi="Book Antiqua" w:cs="Times New Roman"/>
          <w:lang w:val="en-US"/>
        </w:rPr>
        <w:t xml:space="preserve"> yaitu </w:t>
      </w:r>
      <w:r w:rsidRPr="00773878">
        <w:rPr>
          <w:rFonts w:ascii="Book Antiqua" w:hAnsi="Book Antiqua" w:cs="Times New Roman"/>
        </w:rPr>
        <w:t>Komisi Yudisial, DPR RI dan Presiden. Ditegaskan dalam konstitusi, Komisi Yudisial yang diamanatkan untuk melakukan proses rekrutmen hakim agung agar yang terpilih tidak terpengaruh oleh kekuasaan legislatif maupun eksekutif. Komisi Yudisial lalu mengusulkan calon hakim agung ke DPR RI</w:t>
      </w:r>
      <w:r w:rsidRPr="00773878">
        <w:rPr>
          <w:rFonts w:ascii="Book Antiqua" w:hAnsi="Book Antiqua" w:cs="Times New Roman"/>
          <w:lang w:val="en-US"/>
        </w:rPr>
        <w:t xml:space="preserve"> </w:t>
      </w:r>
      <w:r w:rsidRPr="00773878">
        <w:rPr>
          <w:rFonts w:ascii="Book Antiqua" w:hAnsi="Book Antiqua" w:cs="Times New Roman"/>
        </w:rPr>
        <w:t xml:space="preserve">untuk disetujui atau sebaliknya. Setelah disetujui legislatif, Presiden mengangkat mereka seperti </w:t>
      </w:r>
      <w:proofErr w:type="gramStart"/>
      <w:r w:rsidRPr="00773878">
        <w:rPr>
          <w:rFonts w:ascii="Book Antiqua" w:hAnsi="Book Antiqua" w:cs="Times New Roman"/>
        </w:rPr>
        <w:t>ketentuan  Pasal</w:t>
      </w:r>
      <w:proofErr w:type="gramEnd"/>
      <w:r w:rsidRPr="00773878">
        <w:rPr>
          <w:rFonts w:ascii="Book Antiqua" w:hAnsi="Book Antiqua" w:cs="Times New Roman"/>
        </w:rPr>
        <w:t xml:space="preserve"> 24A </w:t>
      </w:r>
      <w:r w:rsidRPr="00773878">
        <w:rPr>
          <w:rFonts w:ascii="Book Antiqua" w:hAnsi="Book Antiqua" w:cs="Times New Roman"/>
          <w:lang w:val="en-US"/>
        </w:rPr>
        <w:t>A</w:t>
      </w:r>
      <w:r w:rsidRPr="00773878">
        <w:rPr>
          <w:rFonts w:ascii="Book Antiqua" w:hAnsi="Book Antiqua" w:cs="Times New Roman"/>
        </w:rPr>
        <w:t xml:space="preserve">yat (3) </w:t>
      </w:r>
      <w:r w:rsidRPr="00773878">
        <w:rPr>
          <w:rFonts w:ascii="Book Antiqua" w:hAnsi="Book Antiqua" w:cs="Times New Roman"/>
          <w:lang w:val="en-US"/>
        </w:rPr>
        <w:t>UUD</w:t>
      </w:r>
      <w:r w:rsidRPr="00773878">
        <w:rPr>
          <w:rFonts w:ascii="Book Antiqua" w:hAnsi="Book Antiqua" w:cs="Times New Roman"/>
        </w:rPr>
        <w:t xml:space="preserve"> 1945 yang menyatakan bahwa: </w:t>
      </w:r>
      <w:r w:rsidRPr="00F078AA">
        <w:rPr>
          <w:rFonts w:ascii="Book Antiqua" w:hAnsi="Book Antiqua" w:cs="Times New Roman"/>
        </w:rPr>
        <w:t>“calon hakim agung diusulkan Komisi Yudisial kepada Dewan Perwakilan Rakyat untuk mendapatkan persetujuan dan selanjutnya ditetapkan sebagai hakim agung oleh Presiden”.</w:t>
      </w:r>
    </w:p>
    <w:p w14:paraId="20E44324" w14:textId="7919E3C9" w:rsidR="00EE5E76" w:rsidRPr="00773878" w:rsidRDefault="000A565A" w:rsidP="000A565A">
      <w:pPr>
        <w:shd w:val="clear" w:color="auto" w:fill="FFFFFF" w:themeFill="background1"/>
        <w:spacing w:after="0" w:line="276" w:lineRule="auto"/>
        <w:ind w:firstLine="567"/>
        <w:jc w:val="both"/>
        <w:rPr>
          <w:rFonts w:ascii="Book Antiqua" w:hAnsi="Book Antiqua" w:cs="Times New Roman"/>
        </w:rPr>
      </w:pPr>
      <w:proofErr w:type="gramStart"/>
      <w:r>
        <w:rPr>
          <w:rFonts w:ascii="Book Antiqua" w:hAnsi="Book Antiqua" w:cs="Times New Roman"/>
        </w:rPr>
        <w:t>R</w:t>
      </w:r>
      <w:r w:rsidR="00EE5E76" w:rsidRPr="00773878">
        <w:rPr>
          <w:rFonts w:ascii="Book Antiqua" w:hAnsi="Book Antiqua" w:cs="Times New Roman"/>
        </w:rPr>
        <w:t xml:space="preserve">akyat melalui DPR RI mempunyai kewenangan untuk menentukan siapa yang tepat menjadi hakim agung sesuai dengan aspirasi dan kepentingan rakyat untuk memperoleh </w:t>
      </w:r>
      <w:r>
        <w:rPr>
          <w:rFonts w:ascii="Book Antiqua" w:hAnsi="Book Antiqua" w:cs="Times New Roman"/>
        </w:rPr>
        <w:t>kepastian dan keadilan.</w:t>
      </w:r>
      <w:proofErr w:type="gramEnd"/>
      <w:r>
        <w:rPr>
          <w:rFonts w:ascii="Book Antiqua" w:hAnsi="Book Antiqua" w:cs="Times New Roman"/>
        </w:rPr>
        <w:t xml:space="preserve"> Adanya </w:t>
      </w:r>
      <w:r w:rsidR="00EE5E76" w:rsidRPr="00773878">
        <w:rPr>
          <w:rFonts w:ascii="Book Antiqua" w:hAnsi="Book Antiqua" w:cs="Times New Roman"/>
        </w:rPr>
        <w:t xml:space="preserve">keterlibatan DPR RI dalam proses pengangkatan Hakim Agung tersebut juga berkaitan dengan kepentingan untuk menjamin adanya akuntabilitas </w:t>
      </w:r>
      <w:r w:rsidR="00EE5E76" w:rsidRPr="00F078AA">
        <w:rPr>
          <w:rFonts w:ascii="Book Antiqua" w:hAnsi="Book Antiqua" w:cs="Times New Roman"/>
        </w:rPr>
        <w:t>(public accountability)</w:t>
      </w:r>
      <w:r w:rsidR="00EE5E76" w:rsidRPr="00773878">
        <w:rPr>
          <w:rFonts w:ascii="Book Antiqua" w:hAnsi="Book Antiqua" w:cs="Times New Roman"/>
        </w:rPr>
        <w:t xml:space="preserve"> dalam pengangkatan, dan juga dalam pemberhentian hakim agung. Bagaimanapun juga, pengakuan akan penting dan sentralnya prinsip independensi </w:t>
      </w:r>
      <w:r w:rsidR="00EE5E76" w:rsidRPr="00F078AA">
        <w:rPr>
          <w:rFonts w:ascii="Book Antiqua" w:hAnsi="Book Antiqua" w:cs="Times New Roman"/>
        </w:rPr>
        <w:t>peradilan (the independence of judiciary)</w:t>
      </w:r>
      <w:r w:rsidR="00EE5E76" w:rsidRPr="00773878">
        <w:rPr>
          <w:rFonts w:ascii="Book Antiqua" w:hAnsi="Book Antiqua" w:cs="Times New Roman"/>
        </w:rPr>
        <w:t xml:space="preserve"> sebagai negara hukum modern haruslah diimbangi dengan penerapan prinsip akuntabilitas publik. Karena itu, fungsi partisipasi publik dipandang penting, dan hal itu terkait dengan fungsi di DPR RI, bukan di Komisi Yudisial sebagai lembaga teknis yang bersifat administratif.</w:t>
      </w:r>
      <w:r w:rsidR="00EE5E76" w:rsidRPr="00773878">
        <w:rPr>
          <w:rFonts w:ascii="Book Antiqua" w:hAnsi="Book Antiqua" w:cs="Times New Roman"/>
          <w:lang w:val="en-US"/>
        </w:rPr>
        <w:t xml:space="preserve"> </w:t>
      </w:r>
      <w:proofErr w:type="gramStart"/>
      <w:r w:rsidR="00EE5E76" w:rsidRPr="00773878">
        <w:rPr>
          <w:rFonts w:ascii="Book Antiqua" w:hAnsi="Book Antiqua" w:cs="Times New Roman"/>
        </w:rPr>
        <w:t>Namun, sebagai lembaga teknis administrasi, Komisi Yudisial harus dijamin independen dari campur tangan politik dari pemerintah ataupun dari lembaga politik kekuasaan legislatif.</w:t>
      </w:r>
      <w:proofErr w:type="gramEnd"/>
      <w:r w:rsidR="00EE5E76" w:rsidRPr="00773878">
        <w:rPr>
          <w:rFonts w:ascii="Book Antiqua" w:hAnsi="Book Antiqua" w:cs="Times New Roman"/>
        </w:rPr>
        <w:t xml:space="preserve"> </w:t>
      </w:r>
      <w:proofErr w:type="gramStart"/>
      <w:r>
        <w:rPr>
          <w:rFonts w:ascii="Book Antiqua" w:hAnsi="Book Antiqua" w:cs="Times New Roman"/>
        </w:rPr>
        <w:t>S</w:t>
      </w:r>
      <w:r w:rsidR="00EE5E76" w:rsidRPr="00773878">
        <w:rPr>
          <w:rFonts w:ascii="Book Antiqua" w:hAnsi="Book Antiqua" w:cs="Times New Roman"/>
        </w:rPr>
        <w:t>ebaiknya, Komisi Yudisial juga diamankan dari keterlibatannya dengan pengaruh-pengaruh poli</w:t>
      </w:r>
      <w:r>
        <w:rPr>
          <w:rFonts w:ascii="Book Antiqua" w:hAnsi="Book Antiqua" w:cs="Times New Roman"/>
        </w:rPr>
        <w:t>tik lembaga swadaya masyarakat.</w:t>
      </w:r>
      <w:proofErr w:type="gramEnd"/>
      <w:r>
        <w:rPr>
          <w:rFonts w:ascii="Book Antiqua" w:hAnsi="Book Antiqua" w:cs="Times New Roman"/>
        </w:rPr>
        <w:t xml:space="preserve"> </w:t>
      </w:r>
      <w:r w:rsidR="00EE5E76" w:rsidRPr="00773878">
        <w:rPr>
          <w:rFonts w:ascii="Book Antiqua" w:hAnsi="Book Antiqua" w:cs="Times New Roman"/>
        </w:rPr>
        <w:t>Komisi Yudisial benar-</w:t>
      </w:r>
      <w:r>
        <w:rPr>
          <w:rFonts w:ascii="Book Antiqua" w:hAnsi="Book Antiqua" w:cs="Times New Roman"/>
        </w:rPr>
        <w:t xml:space="preserve">benar </w:t>
      </w:r>
      <w:r w:rsidR="00EE5E76" w:rsidRPr="00773878">
        <w:rPr>
          <w:rFonts w:ascii="Book Antiqua" w:hAnsi="Book Antiqua" w:cs="Times New Roman"/>
        </w:rPr>
        <w:t>dapat bertindak sebagai lembaga antara yang kritis dan objektif, semata-mata untuk mencapai kehormatan, kepercayaan dan martabat hakim dan lembaga peradilan</w:t>
      </w:r>
      <w:r>
        <w:rPr>
          <w:rFonts w:ascii="Book Antiqua" w:hAnsi="Book Antiqua" w:cs="Times New Roman"/>
        </w:rPr>
        <w:t xml:space="preserve"> (Jimly Asshiddiq</w:t>
      </w:r>
      <w:proofErr w:type="gramStart"/>
      <w:r>
        <w:rPr>
          <w:rFonts w:ascii="Book Antiqua" w:hAnsi="Book Antiqua" w:cs="Times New Roman"/>
        </w:rPr>
        <w:t>,2005</w:t>
      </w:r>
      <w:proofErr w:type="gramEnd"/>
      <w:r w:rsidR="00F1797A" w:rsidRPr="00773878">
        <w:rPr>
          <w:rFonts w:ascii="Book Antiqua" w:hAnsi="Book Antiqua" w:cs="Times New Roman"/>
        </w:rPr>
        <w:t>)</w:t>
      </w:r>
      <w:r w:rsidR="00EE5E76" w:rsidRPr="00773878">
        <w:rPr>
          <w:rFonts w:ascii="Book Antiqua" w:hAnsi="Book Antiqua" w:cs="Times New Roman"/>
        </w:rPr>
        <w:t>.</w:t>
      </w:r>
      <w:r>
        <w:rPr>
          <w:rFonts w:ascii="Book Antiqua" w:hAnsi="Book Antiqua" w:cs="Times New Roman"/>
        </w:rPr>
        <w:t xml:space="preserve"> </w:t>
      </w:r>
      <w:r w:rsidR="00EE5E76" w:rsidRPr="00773878">
        <w:rPr>
          <w:rFonts w:ascii="Book Antiqua" w:hAnsi="Book Antiqua" w:cs="Times New Roman"/>
        </w:rPr>
        <w:t xml:space="preserve">Pentingnya mekanisme pemilihan hakim agung dalam konteks menjaga independensi peradilan terkait dengan bagaimana mencegah masuknya kepentingan </w:t>
      </w:r>
      <w:proofErr w:type="gramStart"/>
      <w:r w:rsidR="00EE5E76" w:rsidRPr="00773878">
        <w:rPr>
          <w:rFonts w:ascii="Book Antiqua" w:hAnsi="Book Antiqua" w:cs="Times New Roman"/>
        </w:rPr>
        <w:t>lain</w:t>
      </w:r>
      <w:proofErr w:type="gramEnd"/>
      <w:r w:rsidR="00EE5E76" w:rsidRPr="00773878">
        <w:rPr>
          <w:rFonts w:ascii="Book Antiqua" w:hAnsi="Book Antiqua" w:cs="Times New Roman"/>
        </w:rPr>
        <w:t xml:space="preserve"> dan politisasi dalam pemilihan hakim agung. Hal ini terkait dengan posisi strategis seorang hakim agung, baik secara hukum maupun secara politik, sehingga banyak kekuatan politik yang berkepentingan dengan posisi tersebut.</w:t>
      </w:r>
    </w:p>
    <w:p w14:paraId="6FF06FDA" w14:textId="52ED6627" w:rsidR="00EE5E76" w:rsidRPr="00773878" w:rsidRDefault="00EE5E76" w:rsidP="000A565A">
      <w:pPr>
        <w:shd w:val="clear" w:color="auto" w:fill="FFFFFF" w:themeFill="background1"/>
        <w:spacing w:after="0" w:line="276" w:lineRule="auto"/>
        <w:ind w:firstLine="567"/>
        <w:jc w:val="both"/>
        <w:rPr>
          <w:rFonts w:ascii="Book Antiqua" w:hAnsi="Book Antiqua" w:cs="Times New Roman"/>
        </w:rPr>
      </w:pPr>
      <w:r w:rsidRPr="00773878">
        <w:rPr>
          <w:rFonts w:ascii="Book Antiqua" w:hAnsi="Book Antiqua" w:cs="Times New Roman"/>
        </w:rPr>
        <w:t xml:space="preserve">Di banyak negara, proses pemilihan hakim agung biasanya akan dipengaruhi oleh kepentingan politik. Pemerintah, parlemen atau kekuatan politik tentu biasanya </w:t>
      </w:r>
      <w:proofErr w:type="gramStart"/>
      <w:r w:rsidRPr="00773878">
        <w:rPr>
          <w:rFonts w:ascii="Book Antiqua" w:hAnsi="Book Antiqua" w:cs="Times New Roman"/>
        </w:rPr>
        <w:t>akan</w:t>
      </w:r>
      <w:proofErr w:type="gramEnd"/>
      <w:r w:rsidRPr="00773878">
        <w:rPr>
          <w:rFonts w:ascii="Book Antiqua" w:hAnsi="Book Antiqua" w:cs="Times New Roman"/>
        </w:rPr>
        <w:t xml:space="preserve"> bersaing untuk mempengaruhi proses pemilihan calon hakim agung. Tak jarang, </w:t>
      </w:r>
      <w:proofErr w:type="gramStart"/>
      <w:r w:rsidRPr="00773878">
        <w:rPr>
          <w:rFonts w:ascii="Book Antiqua" w:hAnsi="Book Antiqua" w:cs="Times New Roman"/>
        </w:rPr>
        <w:t>proses  pemilihan</w:t>
      </w:r>
      <w:proofErr w:type="gramEnd"/>
      <w:r w:rsidR="000A565A">
        <w:rPr>
          <w:rFonts w:ascii="Book Antiqua" w:hAnsi="Book Antiqua" w:cs="Times New Roman"/>
        </w:rPr>
        <w:t xml:space="preserve"> </w:t>
      </w:r>
      <w:r w:rsidRPr="00773878">
        <w:rPr>
          <w:rFonts w:ascii="Book Antiqua" w:hAnsi="Book Antiqua" w:cs="Times New Roman"/>
        </w:rPr>
        <w:t>dipolitisasi atau didominasi oleh pemerintah, partai politik yang menguasai parlemen atau hirarki peradilan yang lebih tinggi (Mahkamah Agung).</w:t>
      </w:r>
      <w:r w:rsidRPr="00773878">
        <w:rPr>
          <w:rFonts w:ascii="Book Antiqua" w:hAnsi="Book Antiqua" w:cs="Times New Roman"/>
          <w:lang w:val="en-US"/>
        </w:rPr>
        <w:t xml:space="preserve"> </w:t>
      </w:r>
      <w:r w:rsidRPr="00773878">
        <w:rPr>
          <w:rFonts w:ascii="Book Antiqua" w:hAnsi="Book Antiqua" w:cs="Times New Roman"/>
        </w:rPr>
        <w:t xml:space="preserve">Kondisi demikian membuat pemilihan hakim agung menjadi paling rentan diintervensi dibanding elemen-elemen independensi peradilan lainnya. Namun terkait pemilihan hakim agung, walaupun </w:t>
      </w:r>
      <w:r w:rsidRPr="00773878">
        <w:rPr>
          <w:rFonts w:ascii="Book Antiqua" w:hAnsi="Book Antiqua" w:cs="Times New Roman"/>
        </w:rPr>
        <w:lastRenderedPageBreak/>
        <w:t xml:space="preserve">konstitusi dan peraturan perundang-undangan mengatur mekanismenya, tetap saja sulit untuk menghindari terjadinya upaya politisasi.  </w:t>
      </w:r>
    </w:p>
    <w:p w14:paraId="75FFEBBD" w14:textId="6D741C09" w:rsidR="00EE5E76" w:rsidRPr="00773878" w:rsidRDefault="00EE5E76" w:rsidP="000A565A">
      <w:pPr>
        <w:shd w:val="clear" w:color="auto" w:fill="FFFFFF" w:themeFill="background1"/>
        <w:spacing w:after="0" w:line="276" w:lineRule="auto"/>
        <w:ind w:firstLine="567"/>
        <w:jc w:val="both"/>
        <w:rPr>
          <w:rFonts w:ascii="Book Antiqua" w:hAnsi="Book Antiqua" w:cs="Times New Roman"/>
        </w:rPr>
      </w:pPr>
      <w:proofErr w:type="gramStart"/>
      <w:r w:rsidRPr="00773878">
        <w:rPr>
          <w:rFonts w:ascii="Book Antiqua" w:hAnsi="Book Antiqua" w:cs="Times New Roman"/>
        </w:rPr>
        <w:t>Anthony Blackshield lebih tegas menyatakan bahwa pemilihan hakim agung itu politis</w:t>
      </w:r>
      <w:r w:rsidR="000A565A">
        <w:rPr>
          <w:rFonts w:ascii="Book Antiqua" w:hAnsi="Book Antiqua" w:cs="Times New Roman"/>
        </w:rPr>
        <w:t xml:space="preserve"> (Van, Schmid J.J, 1980</w:t>
      </w:r>
      <w:r w:rsidR="002C3D29" w:rsidRPr="00773878">
        <w:rPr>
          <w:rFonts w:ascii="Book Antiqua" w:hAnsi="Book Antiqua" w:cs="Times New Roman"/>
        </w:rPr>
        <w:t>)</w:t>
      </w:r>
      <w:r w:rsidRPr="00773878">
        <w:rPr>
          <w:rFonts w:ascii="Book Antiqua" w:hAnsi="Book Antiqua" w:cs="Times New Roman"/>
        </w:rPr>
        <w:t>.</w:t>
      </w:r>
      <w:proofErr w:type="gramEnd"/>
      <w:r w:rsidRPr="00773878">
        <w:rPr>
          <w:rFonts w:ascii="Book Antiqua" w:hAnsi="Book Antiqua" w:cs="Times New Roman"/>
        </w:rPr>
        <w:t xml:space="preserve"> Ada tiga politisasi. </w:t>
      </w:r>
      <w:r w:rsidRPr="00F078AA">
        <w:rPr>
          <w:rFonts w:ascii="Book Antiqua" w:hAnsi="Book Antiqua" w:cs="Times New Roman"/>
        </w:rPr>
        <w:t>pertama,</w:t>
      </w:r>
      <w:r w:rsidRPr="00773878">
        <w:rPr>
          <w:rFonts w:ascii="Book Antiqua" w:hAnsi="Book Antiqua" w:cs="Times New Roman"/>
          <w:i/>
          <w:iCs/>
        </w:rPr>
        <w:t xml:space="preserve"> </w:t>
      </w:r>
      <w:r w:rsidRPr="00773878">
        <w:rPr>
          <w:rFonts w:ascii="Book Antiqua" w:hAnsi="Book Antiqua" w:cs="Times New Roman"/>
        </w:rPr>
        <w:t xml:space="preserve">pemerintah atau parlemen memilih hakim agung yang memiliki sikap politik yang sama dengan mereka. </w:t>
      </w:r>
      <w:r w:rsidRPr="00F078AA">
        <w:rPr>
          <w:rFonts w:ascii="Book Antiqua" w:hAnsi="Book Antiqua" w:cs="Times New Roman"/>
        </w:rPr>
        <w:t>Kedua,</w:t>
      </w:r>
      <w:r w:rsidRPr="00773878">
        <w:rPr>
          <w:rFonts w:ascii="Book Antiqua" w:hAnsi="Book Antiqua" w:cs="Times New Roman"/>
        </w:rPr>
        <w:t xml:space="preserve"> calon hakim agungnya sendiri merupakan anggota parlemen dan aktif dalam partai politik. </w:t>
      </w:r>
      <w:r w:rsidRPr="00F078AA">
        <w:rPr>
          <w:rFonts w:ascii="Book Antiqua" w:hAnsi="Book Antiqua" w:cs="Times New Roman"/>
        </w:rPr>
        <w:t>Ketiga,</w:t>
      </w:r>
      <w:r w:rsidRPr="00773878">
        <w:rPr>
          <w:rFonts w:ascii="Book Antiqua" w:hAnsi="Book Antiqua" w:cs="Times New Roman"/>
        </w:rPr>
        <w:t xml:space="preserve"> pemilihan hakim agung atas dasar balas jasa politik. Tiga pola politisasi inilah yang menyebabkan independensi hakim dan peradilan terganggu. Hakim dan peradilan dibuat untuk tunduk pada kepentingan politik, sehingga independensi dan imprasialitas hakim dalam memutus perkara akan dipertanyakan. </w:t>
      </w:r>
      <w:proofErr w:type="gramStart"/>
      <w:r w:rsidRPr="00773878">
        <w:rPr>
          <w:rFonts w:ascii="Book Antiqua" w:hAnsi="Book Antiqua" w:cs="Times New Roman"/>
        </w:rPr>
        <w:t>Oleh karena itu, untuk memperkuat independensi kekuasaan kehakiman, maka mekanisme pemilihan hakim agung harus didesain untuk meminimalisir upaya politisasi</w:t>
      </w:r>
      <w:r w:rsidR="000A565A">
        <w:rPr>
          <w:rFonts w:ascii="Book Antiqua" w:hAnsi="Book Antiqua" w:cs="Times New Roman"/>
        </w:rPr>
        <w:t xml:space="preserve"> (Idul Rishan, 2013</w:t>
      </w:r>
      <w:r w:rsidR="00F1797A" w:rsidRPr="00773878">
        <w:rPr>
          <w:rFonts w:ascii="Book Antiqua" w:hAnsi="Book Antiqua" w:cs="Times New Roman"/>
        </w:rPr>
        <w:t>)</w:t>
      </w:r>
      <w:r w:rsidR="00273C9B" w:rsidRPr="00773878">
        <w:rPr>
          <w:rFonts w:ascii="Book Antiqua" w:hAnsi="Book Antiqua" w:cs="Times New Roman"/>
        </w:rPr>
        <w:t>.</w:t>
      </w:r>
      <w:proofErr w:type="gramEnd"/>
    </w:p>
    <w:p w14:paraId="25BC6733" w14:textId="77777777" w:rsidR="00296B38" w:rsidRDefault="00296B38" w:rsidP="000A565A">
      <w:pPr>
        <w:spacing w:after="0" w:line="276" w:lineRule="auto"/>
        <w:ind w:firstLine="567"/>
        <w:jc w:val="both"/>
        <w:rPr>
          <w:rFonts w:ascii="Book Antiqua" w:hAnsi="Book Antiqua"/>
        </w:rPr>
      </w:pPr>
    </w:p>
    <w:p w14:paraId="0BDFC7DA" w14:textId="10AF10DB" w:rsidR="00133FCD" w:rsidRPr="00E2220C" w:rsidRDefault="000A565A" w:rsidP="000A565A">
      <w:pPr>
        <w:tabs>
          <w:tab w:val="left" w:pos="7035"/>
        </w:tabs>
        <w:spacing w:after="0" w:line="276" w:lineRule="auto"/>
        <w:jc w:val="both"/>
        <w:rPr>
          <w:rFonts w:ascii="Book Antiqua" w:hAnsi="Book Antiqua"/>
          <w:b/>
          <w:bCs/>
          <w:sz w:val="24"/>
          <w:szCs w:val="24"/>
        </w:rPr>
      </w:pPr>
      <w:r>
        <w:rPr>
          <w:rFonts w:ascii="Book Antiqua" w:hAnsi="Book Antiqua"/>
          <w:b/>
          <w:bCs/>
          <w:sz w:val="24"/>
          <w:szCs w:val="24"/>
        </w:rPr>
        <w:t xml:space="preserve">METODE PENELITIAN </w:t>
      </w:r>
      <w:r>
        <w:rPr>
          <w:rFonts w:ascii="Book Antiqua" w:hAnsi="Book Antiqua"/>
          <w:b/>
          <w:bCs/>
          <w:sz w:val="24"/>
          <w:szCs w:val="24"/>
        </w:rPr>
        <w:tab/>
      </w:r>
    </w:p>
    <w:p w14:paraId="188317CE" w14:textId="7FF1FBD3" w:rsidR="00EE5E76" w:rsidRPr="00773878" w:rsidRDefault="00EE5E76" w:rsidP="0084487E">
      <w:pPr>
        <w:shd w:val="clear" w:color="auto" w:fill="FFFFFF" w:themeFill="background1"/>
        <w:spacing w:after="0" w:line="276" w:lineRule="auto"/>
        <w:ind w:firstLine="567"/>
        <w:jc w:val="both"/>
        <w:rPr>
          <w:rFonts w:ascii="Book Antiqua" w:hAnsi="Book Antiqua" w:cs="Times New Roman"/>
          <w:lang w:val="en-US"/>
        </w:rPr>
      </w:pPr>
      <w:r w:rsidRPr="00773878">
        <w:rPr>
          <w:rFonts w:ascii="Book Antiqua" w:hAnsi="Book Antiqua" w:cs="Times New Roman"/>
        </w:rPr>
        <w:t>Penelitian yang digunakan ad</w:t>
      </w:r>
      <w:r w:rsidR="000A565A">
        <w:rPr>
          <w:rFonts w:ascii="Book Antiqua" w:hAnsi="Book Antiqua" w:cs="Times New Roman"/>
        </w:rPr>
        <w:t>alah penelitian hukum normative</w:t>
      </w:r>
      <w:proofErr w:type="gramStart"/>
      <w:r w:rsidR="000A565A">
        <w:rPr>
          <w:rFonts w:ascii="Book Antiqua" w:hAnsi="Book Antiqua" w:cs="Times New Roman"/>
        </w:rPr>
        <w:t>,</w:t>
      </w:r>
      <w:r w:rsidRPr="00773878">
        <w:rPr>
          <w:rFonts w:ascii="Book Antiqua" w:hAnsi="Book Antiqua" w:cs="Times New Roman"/>
        </w:rPr>
        <w:t>penulisan</w:t>
      </w:r>
      <w:proofErr w:type="gramEnd"/>
      <w:r w:rsidRPr="00773878">
        <w:rPr>
          <w:rFonts w:ascii="Book Antiqua" w:hAnsi="Book Antiqua" w:cs="Times New Roman"/>
        </w:rPr>
        <w:t xml:space="preserve"> hukum normatif adalah penulisan hukum yang dilakukan dengan cara meneliti bahan pustaka atau data sekunder belaka</w:t>
      </w:r>
      <w:r w:rsidR="00273C9B" w:rsidRPr="00773878">
        <w:rPr>
          <w:rFonts w:ascii="Book Antiqua" w:hAnsi="Book Antiqua" w:cs="Times New Roman"/>
        </w:rPr>
        <w:t xml:space="preserve"> (Soerjono So</w:t>
      </w:r>
      <w:r w:rsidR="000A565A">
        <w:rPr>
          <w:rFonts w:ascii="Book Antiqua" w:hAnsi="Book Antiqua" w:cs="Times New Roman"/>
        </w:rPr>
        <w:t>ekanto dan Sri Mahmudji, 2001</w:t>
      </w:r>
      <w:r w:rsidR="00273C9B" w:rsidRPr="00773878">
        <w:rPr>
          <w:rFonts w:ascii="Book Antiqua" w:hAnsi="Book Antiqua" w:cs="Times New Roman"/>
        </w:rPr>
        <w:t>).</w:t>
      </w:r>
      <w:r w:rsidRPr="00773878">
        <w:rPr>
          <w:rFonts w:ascii="Book Antiqua" w:hAnsi="Book Antiqua" w:cs="Times New Roman"/>
        </w:rPr>
        <w:t xml:space="preserve"> </w:t>
      </w:r>
      <w:r w:rsidRPr="00773878">
        <w:rPr>
          <w:rFonts w:ascii="Book Antiqua" w:hAnsi="Book Antiqua" w:cs="Times New Roman"/>
          <w:lang w:val="en-US"/>
        </w:rPr>
        <w:t xml:space="preserve">Sumber bahan hukum terdiri dari 2 (dua) yaitu bahan hukum primer dan sekunder. </w:t>
      </w:r>
      <w:r w:rsidRPr="00773878">
        <w:rPr>
          <w:rFonts w:ascii="Book Antiqua" w:hAnsi="Book Antiqua" w:cs="Times New Roman"/>
        </w:rPr>
        <w:t>Bahan hukum primer terdiri dari peraturan perundang-undangan yang berkaitan dengan Komisi Yudisial dan DPR</w:t>
      </w:r>
      <w:r w:rsidRPr="00773878">
        <w:rPr>
          <w:rFonts w:ascii="Book Antiqua" w:hAnsi="Book Antiqua" w:cs="Times New Roman"/>
          <w:lang w:val="en-US"/>
        </w:rPr>
        <w:t>. Sedangkan b</w:t>
      </w:r>
      <w:r w:rsidRPr="00773878">
        <w:rPr>
          <w:rFonts w:ascii="Book Antiqua" w:hAnsi="Book Antiqua" w:cs="Times New Roman"/>
        </w:rPr>
        <w:t>ahan Hukum Sekunder berupa buku-buku, jurnal, media internet, artikel, dan lainnya, sebagai bahan penunjang untuk melakukan analisis terhadap data-data hasil kajian normatif.</w:t>
      </w:r>
      <w:r w:rsidRPr="00773878">
        <w:rPr>
          <w:rFonts w:ascii="Book Antiqua" w:hAnsi="Book Antiqua" w:cs="Times New Roman"/>
          <w:lang w:val="en-US"/>
        </w:rPr>
        <w:t xml:space="preserve"> Kemudian, t</w:t>
      </w:r>
      <w:r w:rsidRPr="00773878">
        <w:rPr>
          <w:rFonts w:ascii="Book Antiqua" w:hAnsi="Book Antiqua" w:cs="Times New Roman"/>
        </w:rPr>
        <w:t xml:space="preserve">eknik pengumpulan bahan hukum yang digunakan untuk memperoleh bahan dan informasi yaitu </w:t>
      </w:r>
      <w:r w:rsidRPr="00F078AA">
        <w:rPr>
          <w:rFonts w:ascii="Book Antiqua" w:hAnsi="Book Antiqua" w:cs="Times New Roman"/>
        </w:rPr>
        <w:t>Statute Uproach</w:t>
      </w:r>
      <w:r w:rsidRPr="00773878">
        <w:rPr>
          <w:rFonts w:ascii="Book Antiqua" w:hAnsi="Book Antiqua" w:cs="Times New Roman"/>
          <w:i/>
          <w:iCs/>
        </w:rPr>
        <w:t xml:space="preserve"> </w:t>
      </w:r>
      <w:r w:rsidRPr="00773878">
        <w:rPr>
          <w:rFonts w:ascii="Book Antiqua" w:hAnsi="Book Antiqua" w:cs="Times New Roman"/>
        </w:rPr>
        <w:t>(Pendekatan Undang-Undang) dengan literatur yang berhubungan dengan masalah yang dibahas seperti: Peraturan perundang-undangan yang relevan dengan penulisan ini, catatan-catatan resmi atau risalah siding pembentukan peraturan perundang-undangan, putusan pengadilan, buku, majalah, media internet, kamus hukum, jurnal karya ilmiah yang berhubungan dengan masalah yang dibahas dalam penulisan.</w:t>
      </w:r>
      <w:r w:rsidRPr="00773878">
        <w:rPr>
          <w:rFonts w:ascii="Book Antiqua" w:hAnsi="Book Antiqua" w:cs="Times New Roman"/>
          <w:lang w:val="en-US"/>
        </w:rPr>
        <w:t xml:space="preserve"> Selanjutnya, a</w:t>
      </w:r>
      <w:r w:rsidRPr="00773878">
        <w:rPr>
          <w:rFonts w:ascii="Book Antiqua" w:hAnsi="Book Antiqua" w:cs="Times New Roman"/>
        </w:rPr>
        <w:t>nalisis data adalah proses penyederhanaan data ke dalam bentuk yang lebih mudah dibaca dan diinterpretasikan. Penelitian ini, studi pustaka diperoleh terhadap bahan-bahan hukum primer, sekunder, dan tersier dianalisis secara kualitatif deskriptif, yaitu</w:t>
      </w:r>
      <w:r w:rsidR="000A565A">
        <w:rPr>
          <w:rFonts w:ascii="Book Antiqua" w:hAnsi="Book Antiqua" w:cs="Times New Roman"/>
          <w:lang w:val="en-US"/>
        </w:rPr>
        <w:t xml:space="preserve"> (Soerjono Soekanto, 1986</w:t>
      </w:r>
      <w:r w:rsidRPr="00773878">
        <w:rPr>
          <w:rFonts w:ascii="Book Antiqua" w:hAnsi="Book Antiqua" w:cs="Times New Roman"/>
          <w:lang w:val="en-US"/>
        </w:rPr>
        <w:t>)</w:t>
      </w:r>
      <w:r w:rsidRPr="00773878">
        <w:rPr>
          <w:rFonts w:ascii="Book Antiqua" w:hAnsi="Book Antiqua" w:cs="Times New Roman"/>
        </w:rPr>
        <w:t>:</w:t>
      </w:r>
      <w:r w:rsidRPr="00773878">
        <w:rPr>
          <w:rFonts w:ascii="Book Antiqua" w:hAnsi="Book Antiqua" w:cs="Times New Roman"/>
          <w:lang w:val="en-US"/>
        </w:rPr>
        <w:t xml:space="preserve"> </w:t>
      </w:r>
      <w:r w:rsidRPr="00773878">
        <w:rPr>
          <w:rFonts w:ascii="Book Antiqua" w:hAnsi="Book Antiqua" w:cs="Times New Roman"/>
        </w:rPr>
        <w:t>Kualitatif, artinya menganalisis data yang bersifat uraian-uraian teori dan pandangan untuk memperoleh kesimpulan yang sistematis dan juga komprehensif sesuai dengan permasalahan yang diteliti.</w:t>
      </w:r>
      <w:r w:rsidRPr="00773878">
        <w:rPr>
          <w:rFonts w:ascii="Book Antiqua" w:hAnsi="Book Antiqua" w:cs="Times New Roman"/>
          <w:lang w:val="en-US"/>
        </w:rPr>
        <w:t xml:space="preserve"> </w:t>
      </w:r>
      <w:r w:rsidRPr="00773878">
        <w:rPr>
          <w:rFonts w:ascii="Book Antiqua" w:hAnsi="Book Antiqua" w:cs="Times New Roman"/>
        </w:rPr>
        <w:t>Deskriptif, artinya data yang diperoleh tersebut dielaborasi secara komprehensif kemudian dianalisa secara cermat dan sistematis dengan tetap memperhatikan otentisitas data dan signifikansi korelasinya dengan permasalahan yang dikaji.</w:t>
      </w:r>
      <w:r w:rsidRPr="00773878">
        <w:rPr>
          <w:rFonts w:ascii="Book Antiqua" w:hAnsi="Book Antiqua" w:cs="Times New Roman"/>
          <w:lang w:val="en-US"/>
        </w:rPr>
        <w:t xml:space="preserve"> </w:t>
      </w:r>
      <w:r w:rsidRPr="00773878">
        <w:rPr>
          <w:rFonts w:ascii="Book Antiqua" w:hAnsi="Book Antiqua" w:cs="Times New Roman"/>
        </w:rPr>
        <w:t xml:space="preserve">Hasil analisis data kemudian disimpulkan sehingga menghasilkan gambaran secara jelas dan memperoleh jawaban dari permasalahan yang dirumuskan. Logika penarikan kesimpulan dalam penelitian ini menggunakan teknik analisis data dengan logika deduktif. Logika deduktif atau pengolahan bahan hukum dengan cara deduktif yaitu menjelaskan suatu hal yang bersifat umum kemudian menariknya menjadi kesimpulan yang lebih khusus. </w:t>
      </w:r>
    </w:p>
    <w:p w14:paraId="2302BA88" w14:textId="77777777" w:rsidR="00296B38" w:rsidRDefault="00296B38" w:rsidP="00273C9B">
      <w:pPr>
        <w:spacing w:after="0" w:line="276" w:lineRule="auto"/>
        <w:jc w:val="both"/>
        <w:rPr>
          <w:rFonts w:ascii="Book Antiqua" w:hAnsi="Book Antiqua"/>
        </w:rPr>
      </w:pPr>
    </w:p>
    <w:p w14:paraId="03851A93" w14:textId="77777777" w:rsidR="0084487E" w:rsidRDefault="0084487E" w:rsidP="00273C9B">
      <w:pPr>
        <w:spacing w:after="0" w:line="276" w:lineRule="auto"/>
        <w:jc w:val="both"/>
        <w:rPr>
          <w:rFonts w:ascii="Book Antiqua" w:hAnsi="Book Antiqua"/>
        </w:rPr>
      </w:pPr>
    </w:p>
    <w:p w14:paraId="245926E3" w14:textId="77777777" w:rsidR="0084487E" w:rsidRDefault="0084487E" w:rsidP="00273C9B">
      <w:pPr>
        <w:spacing w:after="0" w:line="276" w:lineRule="auto"/>
        <w:jc w:val="both"/>
        <w:rPr>
          <w:rFonts w:ascii="Book Antiqua" w:hAnsi="Book Antiqua"/>
        </w:rPr>
      </w:pPr>
    </w:p>
    <w:p w14:paraId="5EA9DDF7" w14:textId="0CB5D368" w:rsidR="00675419" w:rsidRPr="00E2220C" w:rsidRDefault="000A565A" w:rsidP="00E2220C">
      <w:pPr>
        <w:spacing w:after="0" w:line="276" w:lineRule="auto"/>
        <w:jc w:val="both"/>
        <w:rPr>
          <w:rFonts w:ascii="Book Antiqua" w:hAnsi="Book Antiqua"/>
          <w:b/>
          <w:bCs/>
          <w:sz w:val="24"/>
          <w:szCs w:val="24"/>
        </w:rPr>
      </w:pPr>
      <w:r>
        <w:rPr>
          <w:rFonts w:ascii="Book Antiqua" w:hAnsi="Book Antiqua"/>
          <w:b/>
          <w:bCs/>
          <w:sz w:val="24"/>
          <w:szCs w:val="24"/>
        </w:rPr>
        <w:lastRenderedPageBreak/>
        <w:t>HASIL PENELITIAN DAN PEMBAHASAN</w:t>
      </w:r>
    </w:p>
    <w:p w14:paraId="05D120D9" w14:textId="3D3EAB8A" w:rsidR="00675419" w:rsidRPr="000A565A" w:rsidRDefault="00675419" w:rsidP="000A565A">
      <w:pPr>
        <w:spacing w:after="0"/>
        <w:jc w:val="both"/>
        <w:rPr>
          <w:rFonts w:ascii="Book Antiqua" w:hAnsi="Book Antiqua"/>
          <w:sz w:val="24"/>
          <w:szCs w:val="24"/>
        </w:rPr>
      </w:pPr>
      <w:r w:rsidRPr="000A565A">
        <w:rPr>
          <w:rFonts w:ascii="Book Antiqua" w:hAnsi="Book Antiqua" w:cs="Times New Roman"/>
          <w:b/>
          <w:sz w:val="24"/>
          <w:szCs w:val="24"/>
        </w:rPr>
        <w:t>Kewenangan Dewan Perwakilan Rakyat Dalam Perekrutan Hakim Agung</w:t>
      </w:r>
    </w:p>
    <w:p w14:paraId="6CF1746C" w14:textId="59CC4CE5" w:rsidR="00675419" w:rsidRPr="00773878" w:rsidRDefault="00675419" w:rsidP="000A565A">
      <w:pPr>
        <w:shd w:val="clear" w:color="auto" w:fill="FFFFFF" w:themeFill="background1"/>
        <w:spacing w:after="0" w:line="276" w:lineRule="auto"/>
        <w:ind w:firstLine="567"/>
        <w:jc w:val="both"/>
        <w:rPr>
          <w:rFonts w:ascii="Book Antiqua" w:hAnsi="Book Antiqua" w:cs="Times New Roman"/>
          <w:lang w:val="en-US"/>
        </w:rPr>
      </w:pPr>
      <w:proofErr w:type="gramStart"/>
      <w:r w:rsidRPr="00773878">
        <w:rPr>
          <w:rFonts w:ascii="Book Antiqua" w:hAnsi="Book Antiqua" w:cs="Times New Roman"/>
        </w:rPr>
        <w:t>Hakim pada dasarnya memiliki peran dan posisi yang sangat sentral dalam penegakan hukum dan keadilan.</w:t>
      </w:r>
      <w:proofErr w:type="gramEnd"/>
      <w:r w:rsidRPr="00773878">
        <w:rPr>
          <w:rFonts w:ascii="Book Antiqua" w:hAnsi="Book Antiqua" w:cs="Times New Roman"/>
        </w:rPr>
        <w:t xml:space="preserve"> </w:t>
      </w:r>
      <w:proofErr w:type="gramStart"/>
      <w:r w:rsidRPr="00773878">
        <w:rPr>
          <w:rFonts w:ascii="Book Antiqua" w:hAnsi="Book Antiqua" w:cs="Times New Roman"/>
        </w:rPr>
        <w:t>Melalui putusannya</w:t>
      </w:r>
      <w:r w:rsidRPr="00773878">
        <w:rPr>
          <w:rFonts w:ascii="Book Antiqua" w:hAnsi="Book Antiqua" w:cs="Times New Roman"/>
          <w:lang w:val="en-US"/>
        </w:rPr>
        <w:t>,</w:t>
      </w:r>
      <w:r w:rsidRPr="00773878">
        <w:rPr>
          <w:rFonts w:ascii="Book Antiqua" w:hAnsi="Book Antiqua" w:cs="Times New Roman"/>
        </w:rPr>
        <w:t xml:space="preserve"> seorang hakim dapat mengalihkan hak kepemilikan seseorang, mencabut kebebasan warga negara, menyatakan sah tidaknya tindakan sewenangwenang pemerintah terhadap warga negaranya</w:t>
      </w:r>
      <w:r w:rsidR="009C00E6" w:rsidRPr="00773878">
        <w:rPr>
          <w:rFonts w:ascii="Book Antiqua" w:hAnsi="Book Antiqua" w:cs="Times New Roman"/>
        </w:rPr>
        <w:t xml:space="preserve"> (</w:t>
      </w:r>
      <w:r w:rsidR="000A565A">
        <w:rPr>
          <w:rFonts w:ascii="Book Antiqua" w:hAnsi="Book Antiqua" w:cs="Times New Roman"/>
        </w:rPr>
        <w:t>Satjipto Rahardjo, 2009</w:t>
      </w:r>
      <w:r w:rsidR="008227E5" w:rsidRPr="00773878">
        <w:rPr>
          <w:rFonts w:ascii="Book Antiqua" w:hAnsi="Book Antiqua" w:cs="Times New Roman"/>
        </w:rPr>
        <w:t>)</w:t>
      </w:r>
      <w:r w:rsidRPr="00773878">
        <w:rPr>
          <w:rFonts w:ascii="Book Antiqua" w:hAnsi="Book Antiqua" w:cs="Times New Roman"/>
        </w:rPr>
        <w:t>.</w:t>
      </w:r>
      <w:proofErr w:type="gramEnd"/>
      <w:r w:rsidRPr="00773878">
        <w:rPr>
          <w:rFonts w:ascii="Book Antiqua" w:hAnsi="Book Antiqua" w:cs="Times New Roman"/>
        </w:rPr>
        <w:t xml:space="preserve"> Sikap hakim harus senantiasa berlandaskan pada prinsip keTuhanan Yang Maha Esa, adil, bijaksana, berwibawa, berbudi luhur, dan jujur.</w:t>
      </w:r>
      <w:r w:rsidRPr="00773878">
        <w:rPr>
          <w:rFonts w:ascii="Book Antiqua" w:hAnsi="Book Antiqua" w:cs="Times New Roman"/>
          <w:lang w:val="en-US"/>
        </w:rPr>
        <w:t xml:space="preserve"> </w:t>
      </w:r>
      <w:r w:rsidRPr="00773878">
        <w:rPr>
          <w:rFonts w:ascii="Book Antiqua" w:hAnsi="Book Antiqua" w:cs="Times New Roman"/>
        </w:rPr>
        <w:t>Hal itu berarti bahwa hakim yang baik, yaitu hakim yang memiliki profesionalitas, integritas, dan kualitas, bukanlah lahir dengan sendirinya akan tetapi dibentuk. Dengan demikian, perubahan ke arah terciptanya sistem peradilan yang lebih baik hanya dapat terjadi apabila kita berhasil membentuk dan menempatkan hakim yang berkualitas tersebut di setiap badan peradilan.</w:t>
      </w:r>
    </w:p>
    <w:p w14:paraId="21D88236" w14:textId="7534AF3A" w:rsidR="00675419" w:rsidRPr="00773878" w:rsidRDefault="00675419" w:rsidP="000A565A">
      <w:pPr>
        <w:shd w:val="clear" w:color="auto" w:fill="FFFFFF" w:themeFill="background1"/>
        <w:spacing w:after="0" w:line="276" w:lineRule="auto"/>
        <w:ind w:firstLine="567"/>
        <w:jc w:val="both"/>
        <w:rPr>
          <w:rFonts w:ascii="Book Antiqua" w:hAnsi="Book Antiqua" w:cs="Times New Roman"/>
          <w:lang w:val="en-US"/>
        </w:rPr>
      </w:pPr>
      <w:r w:rsidRPr="00773878">
        <w:rPr>
          <w:rFonts w:ascii="Book Antiqua" w:hAnsi="Book Antiqua" w:cs="Times New Roman"/>
        </w:rPr>
        <w:t>Terkait dengan hal tersebut proses perekrutan hakim agung merupakan hal yang sangat penting untuk menciptakan hakim yang memiliki profesionalitas, integritas dan kualitas</w:t>
      </w:r>
      <w:r w:rsidR="000A565A">
        <w:rPr>
          <w:rFonts w:ascii="Book Antiqua" w:hAnsi="Book Antiqua" w:cs="Times New Roman"/>
        </w:rPr>
        <w:t xml:space="preserve"> (Sadjijono, 2008</w:t>
      </w:r>
      <w:r w:rsidR="002C3D29" w:rsidRPr="00773878">
        <w:rPr>
          <w:rFonts w:ascii="Book Antiqua" w:hAnsi="Book Antiqua" w:cs="Times New Roman"/>
        </w:rPr>
        <w:t>)</w:t>
      </w:r>
      <w:r w:rsidRPr="00773878">
        <w:rPr>
          <w:rFonts w:ascii="Book Antiqua" w:hAnsi="Book Antiqua" w:cs="Times New Roman"/>
        </w:rPr>
        <w:t xml:space="preserve">. Proses perekrutan hakim agung secara tegas dinyatakan dalam </w:t>
      </w:r>
      <w:r w:rsidRPr="00773878">
        <w:rPr>
          <w:rFonts w:ascii="Book Antiqua" w:hAnsi="Book Antiqua" w:cs="Times New Roman"/>
          <w:lang w:val="en-US"/>
        </w:rPr>
        <w:t>P</w:t>
      </w:r>
      <w:r w:rsidRPr="00773878">
        <w:rPr>
          <w:rFonts w:ascii="Book Antiqua" w:hAnsi="Book Antiqua" w:cs="Times New Roman"/>
        </w:rPr>
        <w:t xml:space="preserve">asal 24A </w:t>
      </w:r>
      <w:r w:rsidRPr="00773878">
        <w:rPr>
          <w:rFonts w:ascii="Book Antiqua" w:hAnsi="Book Antiqua" w:cs="Times New Roman"/>
          <w:lang w:val="en-US"/>
        </w:rPr>
        <w:t>A</w:t>
      </w:r>
      <w:r w:rsidRPr="00773878">
        <w:rPr>
          <w:rFonts w:ascii="Book Antiqua" w:hAnsi="Book Antiqua" w:cs="Times New Roman"/>
        </w:rPr>
        <w:t>yat (3) UUD 1945 yang menyatakan:</w:t>
      </w:r>
      <w:r w:rsidRPr="00773878">
        <w:rPr>
          <w:rFonts w:ascii="Book Antiqua" w:hAnsi="Book Antiqua" w:cs="Times New Roman"/>
          <w:lang w:val="en-US"/>
        </w:rPr>
        <w:t xml:space="preserve"> </w:t>
      </w:r>
      <w:r w:rsidRPr="00F078AA">
        <w:rPr>
          <w:rFonts w:ascii="Book Antiqua" w:hAnsi="Book Antiqua" w:cs="Times New Roman"/>
        </w:rPr>
        <w:t>“calon hakim agung diusulkan Komisi Yudisial kepada Dewan</w:t>
      </w:r>
      <w:r w:rsidRPr="00F078AA">
        <w:rPr>
          <w:rFonts w:ascii="Book Antiqua" w:hAnsi="Book Antiqua" w:cs="Times New Roman"/>
          <w:lang w:val="en-US"/>
        </w:rPr>
        <w:t xml:space="preserve"> </w:t>
      </w:r>
      <w:r w:rsidRPr="00F078AA">
        <w:rPr>
          <w:rFonts w:ascii="Book Antiqua" w:hAnsi="Book Antiqua" w:cs="Times New Roman"/>
        </w:rPr>
        <w:t>Perwakilan Rakyat untuk mendapatkan persetujuan dan</w:t>
      </w:r>
      <w:r w:rsidRPr="00F078AA">
        <w:rPr>
          <w:rFonts w:ascii="Book Antiqua" w:hAnsi="Book Antiqua" w:cs="Times New Roman"/>
          <w:lang w:val="en-US"/>
        </w:rPr>
        <w:t xml:space="preserve"> </w:t>
      </w:r>
      <w:r w:rsidRPr="00F078AA">
        <w:rPr>
          <w:rFonts w:ascii="Book Antiqua" w:hAnsi="Book Antiqua" w:cs="Times New Roman"/>
        </w:rPr>
        <w:t>selanjutnya</w:t>
      </w:r>
      <w:r w:rsidRPr="00F078AA">
        <w:rPr>
          <w:rFonts w:ascii="Book Antiqua" w:hAnsi="Book Antiqua" w:cs="Times New Roman"/>
          <w:lang w:val="en-US"/>
        </w:rPr>
        <w:t xml:space="preserve"> </w:t>
      </w:r>
      <w:r w:rsidRPr="00F078AA">
        <w:rPr>
          <w:rFonts w:ascii="Book Antiqua" w:hAnsi="Book Antiqua" w:cs="Times New Roman"/>
        </w:rPr>
        <w:t>ditetapkan sebagai hakim agung oleh presiden”</w:t>
      </w:r>
      <w:r w:rsidRPr="00F078AA">
        <w:rPr>
          <w:rFonts w:ascii="Book Antiqua" w:hAnsi="Book Antiqua" w:cs="Times New Roman"/>
          <w:lang w:val="en-US"/>
        </w:rPr>
        <w:t>.</w:t>
      </w:r>
      <w:r w:rsidRPr="00773878">
        <w:rPr>
          <w:rFonts w:ascii="Book Antiqua" w:hAnsi="Book Antiqua" w:cs="Times New Roman"/>
          <w:lang w:val="en-US"/>
        </w:rPr>
        <w:t xml:space="preserve"> </w:t>
      </w:r>
      <w:r w:rsidRPr="00773878">
        <w:rPr>
          <w:rFonts w:ascii="Book Antiqua" w:hAnsi="Book Antiqua" w:cs="Times New Roman"/>
        </w:rPr>
        <w:t xml:space="preserve">Dengan ketentuan itu, rakyat melalui </w:t>
      </w:r>
      <w:r w:rsidRPr="00773878">
        <w:rPr>
          <w:rFonts w:ascii="Book Antiqua" w:hAnsi="Book Antiqua" w:cs="Times New Roman"/>
          <w:lang w:val="en-US"/>
        </w:rPr>
        <w:t>DPR</w:t>
      </w:r>
      <w:r w:rsidRPr="00773878">
        <w:rPr>
          <w:rFonts w:ascii="Book Antiqua" w:hAnsi="Book Antiqua" w:cs="Times New Roman"/>
        </w:rPr>
        <w:t xml:space="preserve"> mempunyai kewenangan untuk menentukan siapa yang tepat menjadi hakim agung sesuai dengan aspirasi dan kepentingan rakyat untuk memperoleh kepastian dan keadilan. Akan tetapi konstitusi tidak menjelaskan secara lebih rinci tentang proses perekrutan hakim agung. Dalam tata tertib </w:t>
      </w:r>
      <w:r w:rsidRPr="00773878">
        <w:rPr>
          <w:rFonts w:ascii="Book Antiqua" w:hAnsi="Book Antiqua" w:cs="Times New Roman"/>
          <w:lang w:val="en-US"/>
        </w:rPr>
        <w:t xml:space="preserve">DPR </w:t>
      </w:r>
      <w:r w:rsidRPr="00773878">
        <w:rPr>
          <w:rFonts w:ascii="Book Antiqua" w:hAnsi="Book Antiqua" w:cs="Times New Roman"/>
        </w:rPr>
        <w:t>juga tidak diatur secara eksplisit dan rinci mengenai mekanisme pemilihan hakim agung</w:t>
      </w:r>
      <w:r w:rsidRPr="00773878">
        <w:rPr>
          <w:rFonts w:ascii="Book Antiqua" w:hAnsi="Book Antiqua" w:cs="Times New Roman"/>
          <w:lang w:val="en-US"/>
        </w:rPr>
        <w:t>. D</w:t>
      </w:r>
      <w:r w:rsidRPr="00773878">
        <w:rPr>
          <w:rFonts w:ascii="Book Antiqua" w:hAnsi="Book Antiqua" w:cs="Times New Roman"/>
        </w:rPr>
        <w:t xml:space="preserve">alam tata tertib </w:t>
      </w:r>
      <w:r w:rsidRPr="00773878">
        <w:rPr>
          <w:rFonts w:ascii="Book Antiqua" w:hAnsi="Book Antiqua" w:cs="Times New Roman"/>
          <w:lang w:val="en-US"/>
        </w:rPr>
        <w:t>DPR,</w:t>
      </w:r>
      <w:r w:rsidRPr="00773878">
        <w:rPr>
          <w:rFonts w:ascii="Book Antiqua" w:hAnsi="Book Antiqua" w:cs="Times New Roman"/>
        </w:rPr>
        <w:t xml:space="preserve"> keterlibatan </w:t>
      </w:r>
      <w:r w:rsidRPr="00773878">
        <w:rPr>
          <w:rFonts w:ascii="Book Antiqua" w:hAnsi="Book Antiqua" w:cs="Times New Roman"/>
          <w:lang w:val="en-US"/>
        </w:rPr>
        <w:t>DPR</w:t>
      </w:r>
      <w:r w:rsidRPr="00773878">
        <w:rPr>
          <w:rFonts w:ascii="Book Antiqua" w:hAnsi="Book Antiqua" w:cs="Times New Roman"/>
        </w:rPr>
        <w:t xml:space="preserve"> dalam mekanisme perekrutan hakim agung diatur dalam </w:t>
      </w:r>
      <w:r w:rsidRPr="00773878">
        <w:rPr>
          <w:rFonts w:ascii="Book Antiqua" w:hAnsi="Book Antiqua" w:cs="Times New Roman"/>
          <w:lang w:val="en-US"/>
        </w:rPr>
        <w:t>P</w:t>
      </w:r>
      <w:r w:rsidRPr="00773878">
        <w:rPr>
          <w:rFonts w:ascii="Book Antiqua" w:hAnsi="Book Antiqua" w:cs="Times New Roman"/>
        </w:rPr>
        <w:t xml:space="preserve">asal 6 huruf p pada bagian tugas dan wewenang anggota </w:t>
      </w:r>
      <w:r w:rsidRPr="00773878">
        <w:rPr>
          <w:rFonts w:ascii="Book Antiqua" w:hAnsi="Book Antiqua" w:cs="Times New Roman"/>
          <w:lang w:val="en-US"/>
        </w:rPr>
        <w:t>DPR</w:t>
      </w:r>
      <w:r w:rsidRPr="00773878">
        <w:rPr>
          <w:rFonts w:ascii="Book Antiqua" w:hAnsi="Book Antiqua" w:cs="Times New Roman"/>
        </w:rPr>
        <w:t xml:space="preserve"> yang menyatakan</w:t>
      </w:r>
      <w:r w:rsidRPr="00773878">
        <w:rPr>
          <w:rFonts w:ascii="Book Antiqua" w:hAnsi="Book Antiqua" w:cs="Times New Roman"/>
          <w:lang w:val="en-US"/>
        </w:rPr>
        <w:t xml:space="preserve"> bahwa </w:t>
      </w:r>
      <w:r w:rsidRPr="00F078AA">
        <w:rPr>
          <w:rFonts w:ascii="Book Antiqua" w:hAnsi="Book Antiqua" w:cs="Times New Roman"/>
        </w:rPr>
        <w:t>“memberikan persetujuan calon hakim agung yang</w:t>
      </w:r>
      <w:r w:rsidRPr="00F078AA">
        <w:rPr>
          <w:rFonts w:ascii="Book Antiqua" w:hAnsi="Book Antiqua" w:cs="Times New Roman"/>
          <w:lang w:val="en-US"/>
        </w:rPr>
        <w:t xml:space="preserve"> </w:t>
      </w:r>
      <w:r w:rsidRPr="00F078AA">
        <w:rPr>
          <w:rFonts w:ascii="Book Antiqua" w:hAnsi="Book Antiqua" w:cs="Times New Roman"/>
        </w:rPr>
        <w:t>diusulkan komisi yudisial untuk ditetapkan sebagai hakim agung oleh presiden”</w:t>
      </w:r>
      <w:r w:rsidR="000A565A">
        <w:rPr>
          <w:rFonts w:ascii="Book Antiqua" w:hAnsi="Book Antiqua" w:cs="Times New Roman"/>
          <w:lang w:val="en-US"/>
        </w:rPr>
        <w:t xml:space="preserve">. </w:t>
      </w:r>
      <w:r w:rsidR="000A565A">
        <w:rPr>
          <w:rFonts w:ascii="Book Antiqua" w:hAnsi="Book Antiqua" w:cs="Times New Roman"/>
        </w:rPr>
        <w:t>T</w:t>
      </w:r>
      <w:r w:rsidRPr="00773878">
        <w:rPr>
          <w:rFonts w:ascii="Book Antiqua" w:hAnsi="Book Antiqua" w:cs="Times New Roman"/>
        </w:rPr>
        <w:t xml:space="preserve">ata tertib </w:t>
      </w:r>
      <w:r w:rsidRPr="00773878">
        <w:rPr>
          <w:rFonts w:ascii="Book Antiqua" w:hAnsi="Book Antiqua" w:cs="Times New Roman"/>
          <w:lang w:val="en-US"/>
        </w:rPr>
        <w:t>DPR</w:t>
      </w:r>
      <w:r w:rsidRPr="00773878">
        <w:rPr>
          <w:rFonts w:ascii="Book Antiqua" w:hAnsi="Book Antiqua" w:cs="Times New Roman"/>
        </w:rPr>
        <w:t xml:space="preserve"> juga mengatur tentang mekanisme persetujuan yang dimaksudkan dalam Pasal 24A Ayat (3) UUD 1945 dan Pasal 6 huruf p pada tata tertib </w:t>
      </w:r>
      <w:r w:rsidRPr="00773878">
        <w:rPr>
          <w:rFonts w:ascii="Book Antiqua" w:hAnsi="Book Antiqua" w:cs="Times New Roman"/>
          <w:lang w:val="en-US"/>
        </w:rPr>
        <w:t>DPR</w:t>
      </w:r>
      <w:r w:rsidRPr="00773878">
        <w:rPr>
          <w:rFonts w:ascii="Book Antiqua" w:hAnsi="Book Antiqua" w:cs="Times New Roman"/>
        </w:rPr>
        <w:t xml:space="preserve"> dalam perekrutan hakim agung, hal tersebut diatur dalam </w:t>
      </w:r>
      <w:r w:rsidRPr="00773878">
        <w:rPr>
          <w:rFonts w:ascii="Book Antiqua" w:hAnsi="Book Antiqua" w:cs="Times New Roman"/>
          <w:lang w:val="en-US"/>
        </w:rPr>
        <w:t>P</w:t>
      </w:r>
      <w:r w:rsidRPr="00773878">
        <w:rPr>
          <w:rFonts w:ascii="Book Antiqua" w:hAnsi="Book Antiqua" w:cs="Times New Roman"/>
        </w:rPr>
        <w:t xml:space="preserve">asal 191 </w:t>
      </w:r>
      <w:r w:rsidRPr="00773878">
        <w:rPr>
          <w:rFonts w:ascii="Book Antiqua" w:hAnsi="Book Antiqua" w:cs="Times New Roman"/>
          <w:lang w:val="en-US"/>
        </w:rPr>
        <w:t>A</w:t>
      </w:r>
      <w:r w:rsidRPr="00773878">
        <w:rPr>
          <w:rFonts w:ascii="Book Antiqua" w:hAnsi="Book Antiqua" w:cs="Times New Roman"/>
        </w:rPr>
        <w:t xml:space="preserve">yat (1) dan (2) pada tata tertib </w:t>
      </w:r>
      <w:r w:rsidRPr="00773878">
        <w:rPr>
          <w:rFonts w:ascii="Book Antiqua" w:hAnsi="Book Antiqua" w:cs="Times New Roman"/>
          <w:lang w:val="en-US"/>
        </w:rPr>
        <w:t>DPR</w:t>
      </w:r>
      <w:r w:rsidRPr="00773878">
        <w:rPr>
          <w:rFonts w:ascii="Book Antiqua" w:hAnsi="Book Antiqua" w:cs="Times New Roman"/>
        </w:rPr>
        <w:t xml:space="preserve"> yang menyatakan:</w:t>
      </w:r>
    </w:p>
    <w:p w14:paraId="0A082457" w14:textId="77777777" w:rsidR="00675419" w:rsidRPr="00773878" w:rsidRDefault="00675419" w:rsidP="000A565A">
      <w:pPr>
        <w:pStyle w:val="ListParagraph"/>
        <w:numPr>
          <w:ilvl w:val="0"/>
          <w:numId w:val="3"/>
        </w:numPr>
        <w:shd w:val="clear" w:color="auto" w:fill="FFFFFF" w:themeFill="background1"/>
        <w:spacing w:after="0"/>
        <w:ind w:left="284" w:hanging="284"/>
        <w:jc w:val="both"/>
        <w:rPr>
          <w:rFonts w:ascii="Book Antiqua" w:hAnsi="Book Antiqua" w:cs="Times New Roman"/>
          <w:lang w:val="en-US"/>
        </w:rPr>
      </w:pPr>
      <w:r w:rsidRPr="00773878">
        <w:rPr>
          <w:rFonts w:ascii="Book Antiqua" w:hAnsi="Book Antiqua" w:cs="Times New Roman"/>
        </w:rPr>
        <w:t>Dalam hal peraturan perundang-undangan menentukan agar DPR mengajukan, memberikan persetujuan, atau memberikan pertimbangan atas calon untuk menjadwalkan dan menugaskan pembahasannya pada komisi terkait.</w:t>
      </w:r>
    </w:p>
    <w:p w14:paraId="7566E575" w14:textId="77777777" w:rsidR="00675419" w:rsidRPr="00773878" w:rsidRDefault="00675419" w:rsidP="000A565A">
      <w:pPr>
        <w:pStyle w:val="ListParagraph"/>
        <w:numPr>
          <w:ilvl w:val="0"/>
          <w:numId w:val="3"/>
        </w:numPr>
        <w:shd w:val="clear" w:color="auto" w:fill="FFFFFF" w:themeFill="background1"/>
        <w:spacing w:after="0"/>
        <w:ind w:left="284" w:hanging="284"/>
        <w:jc w:val="both"/>
        <w:rPr>
          <w:rFonts w:ascii="Book Antiqua" w:hAnsi="Book Antiqua" w:cs="Times New Roman"/>
          <w:lang w:val="en-US"/>
        </w:rPr>
      </w:pPr>
      <w:r w:rsidRPr="00773878">
        <w:rPr>
          <w:rFonts w:ascii="Book Antiqua" w:hAnsi="Book Antiqua" w:cs="Times New Roman"/>
        </w:rPr>
        <w:t xml:space="preserve">Tata cara pelaksanaan seleksi dan pembahasan sebagaimana dimaksud pada </w:t>
      </w:r>
      <w:r w:rsidRPr="00773878">
        <w:rPr>
          <w:rFonts w:ascii="Book Antiqua" w:hAnsi="Book Antiqua" w:cs="Times New Roman"/>
          <w:lang w:val="en-US"/>
        </w:rPr>
        <w:t>A</w:t>
      </w:r>
      <w:r w:rsidRPr="00773878">
        <w:rPr>
          <w:rFonts w:ascii="Book Antiqua" w:hAnsi="Book Antiqua" w:cs="Times New Roman"/>
        </w:rPr>
        <w:t>yat (1) ditetapkan oleh komisi yang bersangkutan, meliputi:</w:t>
      </w:r>
      <w:r w:rsidRPr="00773878">
        <w:rPr>
          <w:rFonts w:ascii="Book Antiqua" w:hAnsi="Book Antiqua" w:cs="Times New Roman"/>
          <w:lang w:val="en-US"/>
        </w:rPr>
        <w:t xml:space="preserve"> </w:t>
      </w:r>
      <w:r w:rsidRPr="00773878">
        <w:rPr>
          <w:rFonts w:ascii="Book Antiqua" w:hAnsi="Book Antiqua" w:cs="Times New Roman"/>
        </w:rPr>
        <w:t>a</w:t>
      </w:r>
      <w:r w:rsidRPr="00773878">
        <w:rPr>
          <w:rFonts w:ascii="Book Antiqua" w:hAnsi="Book Antiqua" w:cs="Times New Roman"/>
          <w:lang w:val="en-US"/>
        </w:rPr>
        <w:t xml:space="preserve">) </w:t>
      </w:r>
      <w:r w:rsidRPr="00773878">
        <w:rPr>
          <w:rFonts w:ascii="Book Antiqua" w:hAnsi="Book Antiqua" w:cs="Times New Roman"/>
        </w:rPr>
        <w:t>Penelitian administrasi, b.</w:t>
      </w:r>
      <w:r w:rsidRPr="00773878">
        <w:rPr>
          <w:rFonts w:ascii="Book Antiqua" w:hAnsi="Book Antiqua" w:cs="Times New Roman"/>
          <w:lang w:val="en-US"/>
        </w:rPr>
        <w:t xml:space="preserve">) </w:t>
      </w:r>
      <w:r w:rsidRPr="00773878">
        <w:rPr>
          <w:rFonts w:ascii="Book Antiqua" w:hAnsi="Book Antiqua" w:cs="Times New Roman"/>
        </w:rPr>
        <w:t>Penyampaian visi dan misi, c.</w:t>
      </w:r>
      <w:r w:rsidRPr="00773878">
        <w:rPr>
          <w:rFonts w:ascii="Book Antiqua" w:hAnsi="Book Antiqua" w:cs="Times New Roman"/>
          <w:lang w:val="en-US"/>
        </w:rPr>
        <w:t xml:space="preserve">) </w:t>
      </w:r>
      <w:r w:rsidRPr="00773878">
        <w:rPr>
          <w:rFonts w:ascii="Book Antiqua" w:hAnsi="Book Antiqua" w:cs="Times New Roman"/>
        </w:rPr>
        <w:t>Uji kelayakan (fit and proper test), d.</w:t>
      </w:r>
      <w:r w:rsidRPr="00773878">
        <w:rPr>
          <w:rFonts w:ascii="Book Antiqua" w:hAnsi="Book Antiqua" w:cs="Times New Roman"/>
          <w:lang w:val="en-US"/>
        </w:rPr>
        <w:t xml:space="preserve">) </w:t>
      </w:r>
      <w:r w:rsidRPr="00773878">
        <w:rPr>
          <w:rFonts w:ascii="Book Antiqua" w:hAnsi="Book Antiqua" w:cs="Times New Roman"/>
        </w:rPr>
        <w:t xml:space="preserve">Penentuan urutan calon, </w:t>
      </w:r>
      <w:r w:rsidRPr="00773878">
        <w:rPr>
          <w:rFonts w:ascii="Book Antiqua" w:hAnsi="Book Antiqua" w:cs="Times New Roman"/>
          <w:lang w:val="en-US"/>
        </w:rPr>
        <w:t xml:space="preserve">dan </w:t>
      </w:r>
      <w:r w:rsidRPr="00773878">
        <w:rPr>
          <w:rFonts w:ascii="Book Antiqua" w:hAnsi="Book Antiqua" w:cs="Times New Roman"/>
        </w:rPr>
        <w:t>e.</w:t>
      </w:r>
      <w:r w:rsidRPr="00773878">
        <w:rPr>
          <w:rFonts w:ascii="Book Antiqua" w:hAnsi="Book Antiqua" w:cs="Times New Roman"/>
          <w:lang w:val="en-US"/>
        </w:rPr>
        <w:t>)</w:t>
      </w:r>
      <w:r w:rsidRPr="00773878">
        <w:rPr>
          <w:rFonts w:ascii="Book Antiqua" w:hAnsi="Book Antiqua" w:cs="Times New Roman"/>
        </w:rPr>
        <w:t>Diumumkan kepada publik</w:t>
      </w:r>
    </w:p>
    <w:p w14:paraId="077DC121" w14:textId="0C9472F9" w:rsidR="00675419" w:rsidRPr="00773878" w:rsidRDefault="000A565A" w:rsidP="000A565A">
      <w:pPr>
        <w:shd w:val="clear" w:color="auto" w:fill="FFFFFF" w:themeFill="background1"/>
        <w:spacing w:after="0" w:line="276" w:lineRule="auto"/>
        <w:ind w:firstLine="567"/>
        <w:jc w:val="both"/>
        <w:rPr>
          <w:rFonts w:ascii="Book Antiqua" w:hAnsi="Book Antiqua" w:cs="Times New Roman"/>
          <w:lang w:val="en-US"/>
        </w:rPr>
      </w:pPr>
      <w:r>
        <w:rPr>
          <w:rFonts w:ascii="Book Antiqua" w:hAnsi="Book Antiqua" w:cs="Times New Roman"/>
        </w:rPr>
        <w:t>S</w:t>
      </w:r>
      <w:r w:rsidR="00675419" w:rsidRPr="00773878">
        <w:rPr>
          <w:rFonts w:ascii="Book Antiqua" w:hAnsi="Book Antiqua" w:cs="Times New Roman"/>
        </w:rPr>
        <w:t xml:space="preserve">etelah melalui tahapan-tahapan tersebut atau dalam hal ini adalah uji kelayakan </w:t>
      </w:r>
      <w:r w:rsidR="00675419" w:rsidRPr="00F078AA">
        <w:rPr>
          <w:rFonts w:ascii="Book Antiqua" w:hAnsi="Book Antiqua" w:cs="Times New Roman"/>
        </w:rPr>
        <w:t>(fit and proper test)</w:t>
      </w:r>
      <w:r w:rsidR="00675419" w:rsidRPr="00773878">
        <w:rPr>
          <w:rFonts w:ascii="Book Antiqua" w:hAnsi="Book Antiqua" w:cs="Times New Roman"/>
        </w:rPr>
        <w:t xml:space="preserve"> selanjutnya dilakukan pemilihan yang berdasarkan BAB XVII tentang tata cara pengambilan keputusan pada tata tertib </w:t>
      </w:r>
      <w:r w:rsidR="00675419" w:rsidRPr="00773878">
        <w:rPr>
          <w:rFonts w:ascii="Book Antiqua" w:hAnsi="Book Antiqua" w:cs="Times New Roman"/>
          <w:lang w:val="en-US"/>
        </w:rPr>
        <w:t>DPR</w:t>
      </w:r>
      <w:r w:rsidR="00675419" w:rsidRPr="00773878">
        <w:rPr>
          <w:rFonts w:ascii="Book Antiqua" w:hAnsi="Book Antiqua" w:cs="Times New Roman"/>
        </w:rPr>
        <w:t xml:space="preserve"> yang menyebutkan:</w:t>
      </w:r>
      <w:r w:rsidR="00675419" w:rsidRPr="00773878">
        <w:rPr>
          <w:rFonts w:ascii="Book Antiqua" w:hAnsi="Book Antiqua" w:cs="Times New Roman"/>
          <w:lang w:val="en-US"/>
        </w:rPr>
        <w:t xml:space="preserve"> </w:t>
      </w:r>
      <w:r w:rsidR="00675419" w:rsidRPr="00773878">
        <w:rPr>
          <w:rFonts w:ascii="Book Antiqua" w:hAnsi="Book Antiqua" w:cs="Times New Roman"/>
        </w:rPr>
        <w:t>Keputusan berdasarkan suara terbanyak diambil apabila keputusan berdasarkan mufakat sudah tidak terpenuhi karena adanya pendirian sebagian anggota rapat yang tidak dapat dipertemukan lagi dengan pendirian anggota rapat yang lain.</w:t>
      </w:r>
      <w:r w:rsidR="00675419" w:rsidRPr="00773878">
        <w:rPr>
          <w:rFonts w:ascii="Book Antiqua" w:hAnsi="Book Antiqua" w:cs="Times New Roman"/>
          <w:lang w:val="en-US"/>
        </w:rPr>
        <w:t xml:space="preserve"> Kemudian, </w:t>
      </w:r>
      <w:r w:rsidR="00675419" w:rsidRPr="00773878">
        <w:rPr>
          <w:rFonts w:ascii="Book Antiqua" w:hAnsi="Book Antiqua" w:cs="Times New Roman"/>
        </w:rPr>
        <w:t>Pengambilan keputusan berdasarkan suara terbanyak dapat dilakukan secara terbuka atau secara rahasia</w:t>
      </w:r>
      <w:r w:rsidR="00675419" w:rsidRPr="00773878">
        <w:rPr>
          <w:rFonts w:ascii="Book Antiqua" w:hAnsi="Book Antiqua" w:cs="Times New Roman"/>
          <w:lang w:val="en-US"/>
        </w:rPr>
        <w:t xml:space="preserve">, </w:t>
      </w:r>
      <w:r w:rsidR="00675419" w:rsidRPr="00773878">
        <w:rPr>
          <w:rFonts w:ascii="Book Antiqua" w:hAnsi="Book Antiqua" w:cs="Times New Roman"/>
        </w:rPr>
        <w:lastRenderedPageBreak/>
        <w:t>Pengambilan keputusan berdasarkan suara terbanyak secara terbuka dilakukan apabila menyangkut kebijakan</w:t>
      </w:r>
      <w:r w:rsidR="00675419" w:rsidRPr="00773878">
        <w:rPr>
          <w:rFonts w:ascii="Book Antiqua" w:hAnsi="Book Antiqua" w:cs="Times New Roman"/>
          <w:lang w:val="en-US"/>
        </w:rPr>
        <w:t xml:space="preserve">, dan </w:t>
      </w:r>
      <w:r w:rsidR="00675419" w:rsidRPr="00773878">
        <w:rPr>
          <w:rFonts w:ascii="Book Antiqua" w:hAnsi="Book Antiqua" w:cs="Times New Roman"/>
        </w:rPr>
        <w:t>Pengambilan keputusan berdasarkan suara terbanyak secara rahasia dilakukan apabila menyangkut orang atau masalah lain yang ditentukan dalam rapat.</w:t>
      </w:r>
    </w:p>
    <w:p w14:paraId="7E66B9C5" w14:textId="77777777" w:rsidR="00675419" w:rsidRPr="00773878" w:rsidRDefault="00675419" w:rsidP="000A565A">
      <w:pPr>
        <w:shd w:val="clear" w:color="auto" w:fill="FFFFFF" w:themeFill="background1"/>
        <w:spacing w:after="0" w:line="276" w:lineRule="auto"/>
        <w:ind w:firstLine="567"/>
        <w:jc w:val="both"/>
        <w:rPr>
          <w:rFonts w:ascii="Book Antiqua" w:hAnsi="Book Antiqua" w:cs="Times New Roman"/>
          <w:lang w:val="en-US"/>
        </w:rPr>
      </w:pPr>
      <w:r w:rsidRPr="00773878">
        <w:rPr>
          <w:rFonts w:ascii="Book Antiqua" w:hAnsi="Book Antiqua" w:cs="Times New Roman"/>
        </w:rPr>
        <w:t xml:space="preserve">Pada mekanisme pemilihan hakim agung di </w:t>
      </w:r>
      <w:r w:rsidRPr="00773878">
        <w:rPr>
          <w:rFonts w:ascii="Book Antiqua" w:hAnsi="Book Antiqua" w:cs="Times New Roman"/>
          <w:lang w:val="en-US"/>
        </w:rPr>
        <w:t>DPR</w:t>
      </w:r>
      <w:r w:rsidRPr="00773878">
        <w:rPr>
          <w:rFonts w:ascii="Book Antiqua" w:hAnsi="Book Antiqua" w:cs="Times New Roman"/>
        </w:rPr>
        <w:t xml:space="preserve">, proses pemilihan dilaksanakan dengan cara keputusan berdasarkan suara terbanyak secara rahasia. Dan mekanisme dari pemilihan tersebut dinyatakan pada </w:t>
      </w:r>
      <w:r w:rsidRPr="00773878">
        <w:rPr>
          <w:rFonts w:ascii="Book Antiqua" w:hAnsi="Book Antiqua" w:cs="Times New Roman"/>
          <w:lang w:val="en-US"/>
        </w:rPr>
        <w:t>P</w:t>
      </w:r>
      <w:r w:rsidRPr="00773878">
        <w:rPr>
          <w:rFonts w:ascii="Book Antiqua" w:hAnsi="Book Antiqua" w:cs="Times New Roman"/>
        </w:rPr>
        <w:t xml:space="preserve">asal 279 tentang tata tertib </w:t>
      </w:r>
      <w:r w:rsidRPr="00773878">
        <w:rPr>
          <w:rFonts w:ascii="Book Antiqua" w:hAnsi="Book Antiqua" w:cs="Times New Roman"/>
          <w:lang w:val="en-US"/>
        </w:rPr>
        <w:t xml:space="preserve">DPR, yaitu: </w:t>
      </w:r>
      <w:r w:rsidRPr="00773878">
        <w:rPr>
          <w:rFonts w:ascii="Book Antiqua" w:hAnsi="Book Antiqua" w:cs="Times New Roman"/>
        </w:rPr>
        <w:t xml:space="preserve">1) Pemberian suara secara rahasia dilakukan dengan tertulis, tanpa mencantumkan nama, tanda tangan, fraksi pemberi suara, atau tanda lain yang dapat menghilangkan sifat kerahasiaannya. 2) Pemberian suara secara rahasia dapat juga dilakukan dengan cara lain yang tetap menjamin sifat kerahasiaan. 3) Dalam hal hasil pemungutan suara tidak memenuhi ketentuan sebagaimana dimaksud dalam Pasal 277 </w:t>
      </w:r>
      <w:r w:rsidRPr="00773878">
        <w:rPr>
          <w:rFonts w:ascii="Book Antiqua" w:hAnsi="Book Antiqua" w:cs="Times New Roman"/>
          <w:lang w:val="en-US"/>
        </w:rPr>
        <w:t>A</w:t>
      </w:r>
      <w:r w:rsidRPr="00773878">
        <w:rPr>
          <w:rFonts w:ascii="Book Antiqua" w:hAnsi="Book Antiqua" w:cs="Times New Roman"/>
        </w:rPr>
        <w:t xml:space="preserve">yat (2), pemungutan suara diulang sekali lagi dalam rapat itu juga. 4) Dalam hal hasil pemungutan suara ulang, sebagaimana dimaksud pada </w:t>
      </w:r>
      <w:r w:rsidRPr="00773878">
        <w:rPr>
          <w:rFonts w:ascii="Book Antiqua" w:hAnsi="Book Antiqua" w:cs="Times New Roman"/>
          <w:lang w:val="en-US"/>
        </w:rPr>
        <w:t>A</w:t>
      </w:r>
      <w:r w:rsidRPr="00773878">
        <w:rPr>
          <w:rFonts w:ascii="Book Antiqua" w:hAnsi="Book Antiqua" w:cs="Times New Roman"/>
        </w:rPr>
        <w:t xml:space="preserve">yat (3), tidak juga memenuhi ketentuan sebagaimana dimaksud dalam Pasal 245 Ayat (1), pemungutan suara secara rahasia, sebagaimana dimaksud pada </w:t>
      </w:r>
      <w:r w:rsidRPr="00773878">
        <w:rPr>
          <w:rFonts w:ascii="Book Antiqua" w:hAnsi="Book Antiqua" w:cs="Times New Roman"/>
          <w:lang w:val="en-US"/>
        </w:rPr>
        <w:t>A</w:t>
      </w:r>
      <w:r w:rsidRPr="00773878">
        <w:rPr>
          <w:rFonts w:ascii="Book Antiqua" w:hAnsi="Book Antiqua" w:cs="Times New Roman"/>
        </w:rPr>
        <w:t>yat (1), menjadi batal.</w:t>
      </w:r>
    </w:p>
    <w:p w14:paraId="45F1AFE7" w14:textId="77777777" w:rsidR="00675419" w:rsidRPr="00F078AA" w:rsidRDefault="00675419" w:rsidP="000A565A">
      <w:pPr>
        <w:shd w:val="clear" w:color="auto" w:fill="FFFFFF" w:themeFill="background1"/>
        <w:spacing w:after="0" w:line="276" w:lineRule="auto"/>
        <w:ind w:firstLine="567"/>
        <w:jc w:val="both"/>
        <w:rPr>
          <w:rFonts w:ascii="Book Antiqua" w:hAnsi="Book Antiqua" w:cs="Times New Roman"/>
          <w:lang w:val="en-US"/>
        </w:rPr>
      </w:pPr>
      <w:r w:rsidRPr="00773878">
        <w:rPr>
          <w:rFonts w:ascii="Book Antiqua" w:hAnsi="Book Antiqua" w:cs="Times New Roman"/>
        </w:rPr>
        <w:t xml:space="preserve">Paparan ringkas diatas dimaksudkan untuk memberikan gambaran sekilas tentang persetujuan yang dimaksud pada Pasal 24A </w:t>
      </w:r>
      <w:r w:rsidRPr="00773878">
        <w:rPr>
          <w:rFonts w:ascii="Book Antiqua" w:hAnsi="Book Antiqua" w:cs="Times New Roman"/>
          <w:lang w:val="en-US"/>
        </w:rPr>
        <w:t>A</w:t>
      </w:r>
      <w:r w:rsidRPr="00773878">
        <w:rPr>
          <w:rFonts w:ascii="Book Antiqua" w:hAnsi="Book Antiqua" w:cs="Times New Roman"/>
        </w:rPr>
        <w:t xml:space="preserve">yat (3) UUD 1945 dalam tata tertib </w:t>
      </w:r>
      <w:r w:rsidRPr="00773878">
        <w:rPr>
          <w:rFonts w:ascii="Book Antiqua" w:hAnsi="Book Antiqua" w:cs="Times New Roman"/>
          <w:lang w:val="en-US"/>
        </w:rPr>
        <w:t>DPR</w:t>
      </w:r>
      <w:r w:rsidRPr="00773878">
        <w:rPr>
          <w:rFonts w:ascii="Book Antiqua" w:hAnsi="Book Antiqua" w:cs="Times New Roman"/>
        </w:rPr>
        <w:t xml:space="preserve">, adapun untuk kewenangan dalam memilih calon hakim agung oleh </w:t>
      </w:r>
      <w:r w:rsidRPr="00773878">
        <w:rPr>
          <w:rFonts w:ascii="Book Antiqua" w:hAnsi="Book Antiqua" w:cs="Times New Roman"/>
          <w:lang w:val="en-US"/>
        </w:rPr>
        <w:t>DPR</w:t>
      </w:r>
      <w:r w:rsidRPr="00773878">
        <w:rPr>
          <w:rFonts w:ascii="Book Antiqua" w:hAnsi="Book Antiqua" w:cs="Times New Roman"/>
        </w:rPr>
        <w:t xml:space="preserve"> secara tegas di atur dalam </w:t>
      </w:r>
      <w:r w:rsidRPr="00773878">
        <w:rPr>
          <w:rFonts w:ascii="Book Antiqua" w:hAnsi="Book Antiqua" w:cs="Times New Roman"/>
          <w:lang w:val="en-US"/>
        </w:rPr>
        <w:t>P</w:t>
      </w:r>
      <w:r w:rsidRPr="00773878">
        <w:rPr>
          <w:rFonts w:ascii="Book Antiqua" w:hAnsi="Book Antiqua" w:cs="Times New Roman"/>
        </w:rPr>
        <w:t>asal 8 UU Nomor 3 Tahun 2009 tentang perubahan UU Nomor 14 Tahun 1985 tentang Mahkamah Agung yang menyatakan</w:t>
      </w:r>
      <w:r w:rsidRPr="00773878">
        <w:rPr>
          <w:rFonts w:ascii="Book Antiqua" w:hAnsi="Book Antiqua" w:cs="Times New Roman"/>
          <w:lang w:val="en-US"/>
        </w:rPr>
        <w:t xml:space="preserve">, </w:t>
      </w:r>
      <w:r w:rsidRPr="00773878">
        <w:rPr>
          <w:rFonts w:ascii="Book Antiqua" w:hAnsi="Book Antiqua" w:cs="Times New Roman"/>
        </w:rPr>
        <w:t>Pasal 8 ayat (2)</w:t>
      </w:r>
      <w:r w:rsidRPr="00773878">
        <w:rPr>
          <w:rFonts w:ascii="Book Antiqua" w:hAnsi="Book Antiqua" w:cs="Times New Roman"/>
          <w:lang w:val="en-US"/>
        </w:rPr>
        <w:t xml:space="preserve">: </w:t>
      </w:r>
      <w:r w:rsidRPr="00F078AA">
        <w:rPr>
          <w:rFonts w:ascii="Book Antiqua" w:hAnsi="Book Antiqua" w:cs="Times New Roman"/>
        </w:rPr>
        <w:t>“calon hakim agung dipilih oleh Dewan</w:t>
      </w:r>
      <w:r w:rsidRPr="00F078AA">
        <w:rPr>
          <w:rFonts w:ascii="Book Antiqua" w:hAnsi="Book Antiqua" w:cs="Times New Roman"/>
          <w:lang w:val="en-US"/>
        </w:rPr>
        <w:t xml:space="preserve"> </w:t>
      </w:r>
      <w:r w:rsidRPr="00F078AA">
        <w:rPr>
          <w:rFonts w:ascii="Book Antiqua" w:hAnsi="Book Antiqua" w:cs="Times New Roman"/>
        </w:rPr>
        <w:t>Perwakilan</w:t>
      </w:r>
      <w:r w:rsidRPr="00F078AA">
        <w:rPr>
          <w:rFonts w:ascii="Book Antiqua" w:hAnsi="Book Antiqua" w:cs="Times New Roman"/>
          <w:lang w:val="en-US"/>
        </w:rPr>
        <w:t xml:space="preserve"> </w:t>
      </w:r>
      <w:r w:rsidRPr="00F078AA">
        <w:rPr>
          <w:rFonts w:ascii="Book Antiqua" w:hAnsi="Book Antiqua" w:cs="Times New Roman"/>
        </w:rPr>
        <w:t>Rakyat darinama calon yang di usulkan oleh komisi yudisial”</w:t>
      </w:r>
      <w:r w:rsidRPr="00F078AA">
        <w:rPr>
          <w:rFonts w:ascii="Book Antiqua" w:hAnsi="Book Antiqua" w:cs="Times New Roman"/>
          <w:lang w:val="en-US"/>
        </w:rPr>
        <w:t xml:space="preserve"> Kemudian, </w:t>
      </w:r>
      <w:r w:rsidRPr="00F078AA">
        <w:rPr>
          <w:rFonts w:ascii="Book Antiqua" w:hAnsi="Book Antiqua" w:cs="Times New Roman"/>
        </w:rPr>
        <w:t>Pasal 8 Ayat (3)</w:t>
      </w:r>
      <w:r w:rsidRPr="00F078AA">
        <w:rPr>
          <w:rFonts w:ascii="Book Antiqua" w:hAnsi="Book Antiqua" w:cs="Times New Roman"/>
          <w:lang w:val="en-US"/>
        </w:rPr>
        <w:t xml:space="preserve">: </w:t>
      </w:r>
      <w:r w:rsidRPr="00F078AA">
        <w:rPr>
          <w:rFonts w:ascii="Book Antiqua" w:hAnsi="Book Antiqua" w:cs="Times New Roman"/>
        </w:rPr>
        <w:t>“calon hakim agung yang diusulkan oleh Komisi Yudisial</w:t>
      </w:r>
      <w:r w:rsidRPr="00F078AA">
        <w:rPr>
          <w:rFonts w:ascii="Book Antiqua" w:hAnsi="Book Antiqua" w:cs="Times New Roman"/>
          <w:lang w:val="en-US"/>
        </w:rPr>
        <w:t xml:space="preserve"> </w:t>
      </w:r>
      <w:r w:rsidRPr="00F078AA">
        <w:rPr>
          <w:rFonts w:ascii="Book Antiqua" w:hAnsi="Book Antiqua" w:cs="Times New Roman"/>
        </w:rPr>
        <w:t>sebagaimana dimaksud pada ayat (2) dipilih oleh Dewan</w:t>
      </w:r>
      <w:r w:rsidRPr="00F078AA">
        <w:rPr>
          <w:rFonts w:ascii="Book Antiqua" w:hAnsi="Book Antiqua" w:cs="Times New Roman"/>
          <w:lang w:val="en-US"/>
        </w:rPr>
        <w:t xml:space="preserve"> </w:t>
      </w:r>
      <w:r w:rsidRPr="00F078AA">
        <w:rPr>
          <w:rFonts w:ascii="Book Antiqua" w:hAnsi="Book Antiqua" w:cs="Times New Roman"/>
        </w:rPr>
        <w:t>Perwakilan Rakyat 1 (satu) orang dari 3 (tiga) nama calon untuksetiap lowongan”</w:t>
      </w:r>
    </w:p>
    <w:p w14:paraId="63F61C23" w14:textId="012AB569" w:rsidR="00675419" w:rsidRPr="00F078AA" w:rsidRDefault="00675419" w:rsidP="000A565A">
      <w:pPr>
        <w:shd w:val="clear" w:color="auto" w:fill="FFFFFF" w:themeFill="background1"/>
        <w:spacing w:after="0" w:line="276" w:lineRule="auto"/>
        <w:ind w:firstLine="567"/>
        <w:jc w:val="both"/>
        <w:rPr>
          <w:rFonts w:ascii="Book Antiqua" w:hAnsi="Book Antiqua" w:cs="Times New Roman"/>
          <w:lang w:val="en-US"/>
        </w:rPr>
      </w:pPr>
      <w:r w:rsidRPr="00773878">
        <w:rPr>
          <w:rFonts w:ascii="Book Antiqua" w:hAnsi="Book Antiqua" w:cs="Times New Roman"/>
        </w:rPr>
        <w:t xml:space="preserve">Kewenangan untuk memilih calon hakim agung oleh </w:t>
      </w:r>
      <w:r w:rsidRPr="00773878">
        <w:rPr>
          <w:rFonts w:ascii="Book Antiqua" w:hAnsi="Book Antiqua" w:cs="Times New Roman"/>
          <w:lang w:val="en-US"/>
        </w:rPr>
        <w:t>DPR</w:t>
      </w:r>
      <w:r w:rsidRPr="00773878">
        <w:rPr>
          <w:rFonts w:ascii="Book Antiqua" w:hAnsi="Book Antiqua" w:cs="Times New Roman"/>
        </w:rPr>
        <w:t xml:space="preserve"> juga secara tegas diatur dalam Undang-Undang </w:t>
      </w:r>
      <w:r w:rsidRPr="00773878">
        <w:rPr>
          <w:rFonts w:ascii="Book Antiqua" w:hAnsi="Book Antiqua" w:cs="Times New Roman"/>
          <w:lang w:val="en-US"/>
        </w:rPr>
        <w:t>Nomor</w:t>
      </w:r>
      <w:r w:rsidRPr="00773878">
        <w:rPr>
          <w:rFonts w:ascii="Book Antiqua" w:hAnsi="Book Antiqua" w:cs="Times New Roman"/>
        </w:rPr>
        <w:t xml:space="preserve"> 22 Tahun 2004 tentang Komisi Yudisial. Posisi DPR sebagai lembaga legislatif hanya dirumuskan dalam Pasal 18 Ayat (5) dan Pasal 19 Ayat (1)</w:t>
      </w:r>
      <w:r w:rsidRPr="00773878">
        <w:rPr>
          <w:rFonts w:ascii="Book Antiqua" w:hAnsi="Book Antiqua" w:cs="Times New Roman"/>
          <w:lang w:val="en-US"/>
        </w:rPr>
        <w:t xml:space="preserve">. </w:t>
      </w:r>
      <w:r w:rsidRPr="00773878">
        <w:rPr>
          <w:rFonts w:ascii="Book Antiqua" w:hAnsi="Book Antiqua" w:cs="Times New Roman"/>
        </w:rPr>
        <w:t>Pasal 18 ayat (5)</w:t>
      </w:r>
      <w:r w:rsidRPr="00773878">
        <w:rPr>
          <w:rFonts w:ascii="Book Antiqua" w:hAnsi="Book Antiqua" w:cs="Times New Roman"/>
          <w:lang w:val="en-US"/>
        </w:rPr>
        <w:t xml:space="preserve">: </w:t>
      </w:r>
      <w:r w:rsidRPr="00F078AA">
        <w:rPr>
          <w:rFonts w:ascii="Book Antiqua" w:hAnsi="Book Antiqua" w:cs="Times New Roman"/>
        </w:rPr>
        <w:t>”dalam jangka waktu paling lambat 15 (lima belas) hari terhitung</w:t>
      </w:r>
      <w:r w:rsidRPr="00F078AA">
        <w:rPr>
          <w:rFonts w:ascii="Book Antiqua" w:hAnsi="Book Antiqua" w:cs="Times New Roman"/>
          <w:lang w:val="en-US"/>
        </w:rPr>
        <w:t xml:space="preserve"> </w:t>
      </w:r>
      <w:r w:rsidRPr="00F078AA">
        <w:rPr>
          <w:rFonts w:ascii="Book Antiqua" w:hAnsi="Book Antiqua" w:cs="Times New Roman"/>
        </w:rPr>
        <w:t>sejak seleksi sebagaimana dimaksud pada ayat (4) berakhir, komisi</w:t>
      </w:r>
      <w:r w:rsidRPr="00F078AA">
        <w:rPr>
          <w:rFonts w:ascii="Book Antiqua" w:hAnsi="Book Antiqua" w:cs="Times New Roman"/>
          <w:lang w:val="en-US"/>
        </w:rPr>
        <w:t xml:space="preserve"> </w:t>
      </w:r>
      <w:r w:rsidRPr="00F078AA">
        <w:rPr>
          <w:rFonts w:ascii="Book Antiqua" w:hAnsi="Book Antiqua" w:cs="Times New Roman"/>
        </w:rPr>
        <w:t>yudisial menetapkan dan mengajukan 3 (tiga) orang nama hakim</w:t>
      </w:r>
      <w:r w:rsidRPr="00F078AA">
        <w:rPr>
          <w:rFonts w:ascii="Book Antiqua" w:hAnsi="Book Antiqua" w:cs="Times New Roman"/>
          <w:lang w:val="en-US"/>
        </w:rPr>
        <w:t xml:space="preserve"> </w:t>
      </w:r>
      <w:r w:rsidRPr="00F078AA">
        <w:rPr>
          <w:rFonts w:ascii="Book Antiqua" w:hAnsi="Book Antiqua" w:cs="Times New Roman"/>
        </w:rPr>
        <w:t>agung kepada DPR untuk setiap 1 (satu) lowongan hakim agung,</w:t>
      </w:r>
      <w:r w:rsidRPr="00F078AA">
        <w:rPr>
          <w:rFonts w:ascii="Book Antiqua" w:hAnsi="Book Antiqua" w:cs="Times New Roman"/>
          <w:lang w:val="en-US"/>
        </w:rPr>
        <w:t xml:space="preserve"> </w:t>
      </w:r>
      <w:r w:rsidRPr="00F078AA">
        <w:rPr>
          <w:rFonts w:ascii="Book Antiqua" w:hAnsi="Book Antiqua" w:cs="Times New Roman"/>
        </w:rPr>
        <w:t>dengan tembusan disampaikan kepada presiden”</w:t>
      </w:r>
      <w:r w:rsidRPr="00773878">
        <w:rPr>
          <w:rFonts w:ascii="Book Antiqua" w:hAnsi="Book Antiqua" w:cs="Times New Roman"/>
          <w:i/>
          <w:iCs/>
        </w:rPr>
        <w:t>.</w:t>
      </w:r>
      <w:r w:rsidRPr="00773878">
        <w:rPr>
          <w:rFonts w:ascii="Book Antiqua" w:hAnsi="Book Antiqua" w:cs="Times New Roman"/>
          <w:i/>
          <w:iCs/>
          <w:lang w:val="en-US"/>
        </w:rPr>
        <w:t xml:space="preserve"> </w:t>
      </w:r>
      <w:proofErr w:type="gramStart"/>
      <w:r w:rsidRPr="00F078AA">
        <w:rPr>
          <w:rFonts w:ascii="Book Antiqua" w:hAnsi="Book Antiqua" w:cs="Times New Roman"/>
          <w:lang w:val="en-US"/>
        </w:rPr>
        <w:t xml:space="preserve">Dan  </w:t>
      </w:r>
      <w:r w:rsidRPr="00F078AA">
        <w:rPr>
          <w:rFonts w:ascii="Book Antiqua" w:hAnsi="Book Antiqua" w:cs="Times New Roman"/>
        </w:rPr>
        <w:t>Pasal</w:t>
      </w:r>
      <w:proofErr w:type="gramEnd"/>
      <w:r w:rsidRPr="00F078AA">
        <w:rPr>
          <w:rFonts w:ascii="Book Antiqua" w:hAnsi="Book Antiqua" w:cs="Times New Roman"/>
        </w:rPr>
        <w:t xml:space="preserve"> 19 ayat (1)</w:t>
      </w:r>
      <w:r w:rsidRPr="00F078AA">
        <w:rPr>
          <w:rFonts w:ascii="Book Antiqua" w:hAnsi="Book Antiqua" w:cs="Times New Roman"/>
          <w:lang w:val="en-US"/>
        </w:rPr>
        <w:t xml:space="preserve">:  </w:t>
      </w:r>
      <w:r w:rsidRPr="00F078AA">
        <w:rPr>
          <w:rFonts w:ascii="Book Antiqua" w:hAnsi="Book Antiqua" w:cs="Times New Roman"/>
        </w:rPr>
        <w:t xml:space="preserve">”DPR telah menetapkan calon hakim agung untuk diajukan kepadapresiden dalam jangka waktu paling lama 30 (tiga puluh) hari sejakditerima nama calon sebagaimana dimaksud dalam </w:t>
      </w:r>
      <w:r w:rsidR="00F078AA">
        <w:rPr>
          <w:rFonts w:ascii="Book Antiqua" w:hAnsi="Book Antiqua" w:cs="Times New Roman"/>
        </w:rPr>
        <w:t>P</w:t>
      </w:r>
      <w:r w:rsidRPr="00F078AA">
        <w:rPr>
          <w:rFonts w:ascii="Book Antiqua" w:hAnsi="Book Antiqua" w:cs="Times New Roman"/>
        </w:rPr>
        <w:t xml:space="preserve">asal 18 </w:t>
      </w:r>
      <w:r w:rsidR="00F078AA">
        <w:rPr>
          <w:rFonts w:ascii="Book Antiqua" w:hAnsi="Book Antiqua" w:cs="Times New Roman"/>
        </w:rPr>
        <w:t>A</w:t>
      </w:r>
      <w:r w:rsidRPr="00F078AA">
        <w:rPr>
          <w:rFonts w:ascii="Book Antiqua" w:hAnsi="Book Antiqua" w:cs="Times New Roman"/>
        </w:rPr>
        <w:t>yat</w:t>
      </w:r>
      <w:r w:rsidR="00F078AA">
        <w:rPr>
          <w:rFonts w:ascii="Book Antiqua" w:hAnsi="Book Antiqua" w:cs="Times New Roman"/>
        </w:rPr>
        <w:t xml:space="preserve"> </w:t>
      </w:r>
      <w:r w:rsidRPr="00F078AA">
        <w:rPr>
          <w:rFonts w:ascii="Book Antiqua" w:hAnsi="Book Antiqua" w:cs="Times New Roman"/>
        </w:rPr>
        <w:t>(5)”.</w:t>
      </w:r>
    </w:p>
    <w:p w14:paraId="3E2CD249" w14:textId="79723D65" w:rsidR="00273C9B" w:rsidRPr="00773878" w:rsidRDefault="000A565A" w:rsidP="000A565A">
      <w:pPr>
        <w:shd w:val="clear" w:color="auto" w:fill="FFFFFF" w:themeFill="background1"/>
        <w:spacing w:after="0" w:line="276" w:lineRule="auto"/>
        <w:ind w:firstLine="567"/>
        <w:jc w:val="both"/>
        <w:rPr>
          <w:rFonts w:ascii="Book Antiqua" w:hAnsi="Book Antiqua" w:cs="Times New Roman"/>
        </w:rPr>
      </w:pPr>
      <w:proofErr w:type="gramStart"/>
      <w:r>
        <w:rPr>
          <w:rFonts w:ascii="Book Antiqua" w:hAnsi="Book Antiqua" w:cs="Times New Roman"/>
        </w:rPr>
        <w:t xml:space="preserve">Dalam undang-undang pengangkatan calon hakim agung, </w:t>
      </w:r>
      <w:r w:rsidR="00675419" w:rsidRPr="00773878">
        <w:rPr>
          <w:rFonts w:ascii="Book Antiqua" w:hAnsi="Book Antiqua" w:cs="Times New Roman"/>
        </w:rPr>
        <w:t>ternyata berbeda dengan yang ada dalam UUD 1945.</w:t>
      </w:r>
      <w:proofErr w:type="gramEnd"/>
      <w:r w:rsidR="00675419" w:rsidRPr="00773878">
        <w:rPr>
          <w:rFonts w:ascii="Book Antiqua" w:hAnsi="Book Antiqua" w:cs="Times New Roman"/>
        </w:rPr>
        <w:t xml:space="preserve"> Pasal 8 Ayat (2), (3), (4), dan (5) UU No. 3 Tahun 2009 tentang Perubahan Kedua Atas UU No.</w:t>
      </w:r>
      <w:r w:rsidR="00F078AA">
        <w:rPr>
          <w:rFonts w:ascii="Book Antiqua" w:hAnsi="Book Antiqua" w:cs="Times New Roman"/>
        </w:rPr>
        <w:t xml:space="preserve"> </w:t>
      </w:r>
      <w:r w:rsidR="00675419" w:rsidRPr="00773878">
        <w:rPr>
          <w:rFonts w:ascii="Book Antiqua" w:hAnsi="Book Antiqua" w:cs="Times New Roman"/>
        </w:rPr>
        <w:t>14 Tahun 1985 tentang Mahkamah Agung dan Pasal 18 Ayat (4) dan Pasal 19 Ayat (1) UU No. 18 Tahun 2011 tentang Perubahan Atas UU No.</w:t>
      </w:r>
      <w:r w:rsidR="00F078AA">
        <w:rPr>
          <w:rFonts w:ascii="Book Antiqua" w:hAnsi="Book Antiqua" w:cs="Times New Roman"/>
        </w:rPr>
        <w:t xml:space="preserve"> </w:t>
      </w:r>
      <w:r w:rsidR="00675419" w:rsidRPr="00773878">
        <w:rPr>
          <w:rFonts w:ascii="Book Antiqua" w:hAnsi="Book Antiqua" w:cs="Times New Roman"/>
        </w:rPr>
        <w:t>22 Tahun 2004 tentang Komisi Yudisial, pada dasarnya menyatakan calon hakim agung yang diusulkan oleh Komisi Yudisial dipilih DPR 1 (satu) orang dari 3 (tiga) nama calon untuk setiap lowongan.</w:t>
      </w:r>
      <w:r w:rsidR="00675419" w:rsidRPr="00773878">
        <w:rPr>
          <w:rFonts w:ascii="Book Antiqua" w:hAnsi="Book Antiqua" w:cs="Times New Roman"/>
          <w:lang w:val="en-US"/>
        </w:rPr>
        <w:t xml:space="preserve"> </w:t>
      </w:r>
      <w:r w:rsidR="00675419" w:rsidRPr="00773878">
        <w:rPr>
          <w:rFonts w:ascii="Book Antiqua" w:hAnsi="Book Antiqua" w:cs="Times New Roman"/>
        </w:rPr>
        <w:t>Adanya ketentuan “kuota” tersebut, ditengarai karena pola pengangkatan calon hakim agung di DPR dilakukan dengan “pemilihan”. Di mana Anggota DPR memiliki pilihan (</w:t>
      </w:r>
      <w:r w:rsidR="00675419" w:rsidRPr="00F078AA">
        <w:rPr>
          <w:rFonts w:ascii="Book Antiqua" w:hAnsi="Book Antiqua" w:cs="Times New Roman"/>
        </w:rPr>
        <w:t>Option)</w:t>
      </w:r>
      <w:r w:rsidR="00675419" w:rsidRPr="00773878">
        <w:rPr>
          <w:rFonts w:ascii="Book Antiqua" w:hAnsi="Book Antiqua" w:cs="Times New Roman"/>
        </w:rPr>
        <w:t xml:space="preserve">, yakni 1 orang untuk setiap 3 nama yang dicalonkan. Maka dari itu, DPR </w:t>
      </w:r>
      <w:r w:rsidR="00675419" w:rsidRPr="00773878">
        <w:rPr>
          <w:rFonts w:ascii="Book Antiqua" w:hAnsi="Book Antiqua" w:cs="Times New Roman"/>
        </w:rPr>
        <w:lastRenderedPageBreak/>
        <w:t>merasa perlu untuk mengetahui keunggulan calon yang satu dengan calon lainnya, karena dari sejumlah nama yang dicalonkan, hanya ada beberapa orang yang akan dipilih sebagai hakim agung.</w:t>
      </w:r>
    </w:p>
    <w:p w14:paraId="59612AAA" w14:textId="5FB8B204" w:rsidR="00273C9B" w:rsidRPr="000A565A" w:rsidRDefault="00675419" w:rsidP="000A565A">
      <w:pPr>
        <w:spacing w:after="0"/>
        <w:jc w:val="both"/>
        <w:rPr>
          <w:rFonts w:ascii="Book Antiqua" w:hAnsi="Book Antiqua" w:cs="Times New Roman"/>
        </w:rPr>
      </w:pPr>
      <w:r w:rsidRPr="000A565A">
        <w:rPr>
          <w:rFonts w:ascii="Book Antiqua" w:hAnsi="Book Antiqua" w:cs="Times New Roman"/>
          <w:b/>
          <w:sz w:val="24"/>
          <w:szCs w:val="24"/>
        </w:rPr>
        <w:t>Perekrutan Hakim Agung Dalam Perspektif Kekuasaan Kehakiman</w:t>
      </w:r>
    </w:p>
    <w:p w14:paraId="14E7BC7E" w14:textId="77777777" w:rsidR="00273C9B" w:rsidRPr="00773878" w:rsidRDefault="00675419" w:rsidP="000A565A">
      <w:pPr>
        <w:shd w:val="clear" w:color="auto" w:fill="FFFFFF" w:themeFill="background1"/>
        <w:spacing w:after="0" w:line="276" w:lineRule="auto"/>
        <w:ind w:firstLine="567"/>
        <w:jc w:val="both"/>
        <w:rPr>
          <w:rFonts w:ascii="Book Antiqua" w:hAnsi="Book Antiqua" w:cs="Times New Roman"/>
        </w:rPr>
      </w:pPr>
      <w:proofErr w:type="gramStart"/>
      <w:r w:rsidRPr="00773878">
        <w:rPr>
          <w:rFonts w:ascii="Book Antiqua" w:hAnsi="Book Antiqua" w:cs="Times New Roman"/>
        </w:rPr>
        <w:t>Kekuasaan kehakiman adalah kekuasaan negara yang merdeka untuk menyelenggarakan peradilan guna menegakkan hukum dan keadilan berdasarkan Pancasila, demi terselenggaranya Negara Hukum Republik Indonesia.</w:t>
      </w:r>
      <w:proofErr w:type="gramEnd"/>
      <w:r w:rsidRPr="00773878">
        <w:rPr>
          <w:rFonts w:ascii="Book Antiqua" w:hAnsi="Book Antiqua" w:cs="Times New Roman"/>
        </w:rPr>
        <w:t xml:space="preserve"> Pernyataan tersebut merupakan pengertian kekuasaan kehakiman yang tercantum pula dalam Pasal 1 UndangUndang Nomor 4 Tahun 2004 tentang Kekuasaan Kehakiman. Sebagai konsekuensi dari sistem pembagian kekuasaan yang diterapkan di negara ini, fungsi kekuasaan kehakiman atau yudikatif dipegang oleh lembaga- lembaga yang telah ditentukan oleh UUD 1945. Bab IX UUD 1945</w:t>
      </w:r>
      <w:r w:rsidRPr="00773878">
        <w:rPr>
          <w:rFonts w:ascii="Book Antiqua" w:hAnsi="Book Antiqua" w:cs="Times New Roman"/>
          <w:lang w:val="en-US"/>
        </w:rPr>
        <w:t xml:space="preserve"> </w:t>
      </w:r>
      <w:r w:rsidRPr="00773878">
        <w:rPr>
          <w:rFonts w:ascii="Book Antiqua" w:hAnsi="Book Antiqua" w:cs="Times New Roman"/>
        </w:rPr>
        <w:t xml:space="preserve">menyebutkan </w:t>
      </w:r>
      <w:r w:rsidRPr="00773878">
        <w:rPr>
          <w:rFonts w:ascii="Book Antiqua" w:hAnsi="Book Antiqua" w:cs="Times New Roman"/>
          <w:lang w:val="en-US"/>
        </w:rPr>
        <w:t>3 (</w:t>
      </w:r>
      <w:r w:rsidRPr="00773878">
        <w:rPr>
          <w:rFonts w:ascii="Book Antiqua" w:hAnsi="Book Antiqua" w:cs="Times New Roman"/>
        </w:rPr>
        <w:t>tiga</w:t>
      </w:r>
      <w:r w:rsidRPr="00773878">
        <w:rPr>
          <w:rFonts w:ascii="Book Antiqua" w:hAnsi="Book Antiqua" w:cs="Times New Roman"/>
          <w:lang w:val="en-US"/>
        </w:rPr>
        <w:t>)</w:t>
      </w:r>
      <w:r w:rsidRPr="00773878">
        <w:rPr>
          <w:rFonts w:ascii="Book Antiqua" w:hAnsi="Book Antiqua" w:cs="Times New Roman"/>
        </w:rPr>
        <w:t xml:space="preserve"> lembaga negara yang termasuk dalam lingkup kekuasaan kehakiman, yaitu Mahkamah Agung (MA), Mahkamah Konstitusi (MK), dan Komisi Yudisial (KY). Namun, menurut Pasal 24 Ayat (2), hanya MA (dan badan peradilan di bawahnya) dan MK yang merupakan penyelenggara kekuasaan kehakiman, sedangkan KY tidak memiliki kewenangan tersebut sehingga badan ini sering disebut sebagai lembaga ekstra-yudisial.</w:t>
      </w:r>
    </w:p>
    <w:p w14:paraId="04AB3D11" w14:textId="43C44265" w:rsidR="00273C9B" w:rsidRPr="00773878" w:rsidRDefault="00675419" w:rsidP="000A565A">
      <w:pPr>
        <w:shd w:val="clear" w:color="auto" w:fill="FFFFFF" w:themeFill="background1"/>
        <w:spacing w:after="0" w:line="276" w:lineRule="auto"/>
        <w:ind w:firstLine="567"/>
        <w:jc w:val="both"/>
        <w:rPr>
          <w:rFonts w:ascii="Book Antiqua" w:hAnsi="Book Antiqua" w:cs="Times New Roman"/>
        </w:rPr>
      </w:pPr>
      <w:r w:rsidRPr="00773878">
        <w:rPr>
          <w:rFonts w:ascii="Book Antiqua" w:hAnsi="Book Antiqua" w:cs="Times New Roman"/>
        </w:rPr>
        <w:t xml:space="preserve">Independensi yang secara harfiah dapat diartikan </w:t>
      </w:r>
      <w:r w:rsidRPr="00773878">
        <w:rPr>
          <w:rFonts w:ascii="Book Antiqua" w:hAnsi="Book Antiqua" w:cs="Times New Roman"/>
          <w:lang w:val="en-US"/>
        </w:rPr>
        <w:t>“</w:t>
      </w:r>
      <w:r w:rsidRPr="00773878">
        <w:rPr>
          <w:rFonts w:ascii="Book Antiqua" w:hAnsi="Book Antiqua" w:cs="Times New Roman"/>
        </w:rPr>
        <w:t>bebas</w:t>
      </w:r>
      <w:r w:rsidRPr="00773878">
        <w:rPr>
          <w:rFonts w:ascii="Book Antiqua" w:eastAsia="MS Mincho" w:hAnsi="Book Antiqua" w:cs="Times New Roman"/>
          <w:lang w:val="en-US"/>
        </w:rPr>
        <w:t xml:space="preserve"> dan “</w:t>
      </w:r>
      <w:r w:rsidRPr="00773878">
        <w:rPr>
          <w:rFonts w:ascii="Book Antiqua" w:hAnsi="Book Antiqua" w:cs="Times New Roman"/>
        </w:rPr>
        <w:t>merdeka</w:t>
      </w:r>
      <w:r w:rsidRPr="00773878">
        <w:rPr>
          <w:rFonts w:ascii="Times New Roman" w:eastAsia="MS Mincho" w:hAnsi="Times New Roman" w:cs="Times New Roman"/>
        </w:rPr>
        <w:t>‟</w:t>
      </w:r>
      <w:r w:rsidRPr="00773878">
        <w:rPr>
          <w:rFonts w:ascii="Book Antiqua" w:hAnsi="Book Antiqua" w:cs="Times New Roman"/>
        </w:rPr>
        <w:t xml:space="preserve"> atau </w:t>
      </w:r>
      <w:r w:rsidRPr="00773878">
        <w:rPr>
          <w:rFonts w:ascii="Book Antiqua" w:hAnsi="Book Antiqua" w:cs="Times New Roman"/>
          <w:lang w:val="en-US"/>
        </w:rPr>
        <w:t>“</w:t>
      </w:r>
      <w:r w:rsidRPr="00773878">
        <w:rPr>
          <w:rFonts w:ascii="Book Antiqua" w:hAnsi="Book Antiqua" w:cs="Times New Roman"/>
        </w:rPr>
        <w:t>berdiri sendiri</w:t>
      </w:r>
      <w:r w:rsidRPr="00773878">
        <w:rPr>
          <w:rFonts w:ascii="Book Antiqua" w:eastAsia="MS Mincho" w:hAnsi="Book Antiqua" w:cs="Times New Roman"/>
          <w:lang w:val="en-US"/>
        </w:rPr>
        <w:t>”</w:t>
      </w:r>
      <w:r w:rsidRPr="00773878">
        <w:rPr>
          <w:rFonts w:ascii="Book Antiqua" w:hAnsi="Book Antiqua" w:cs="Times New Roman"/>
        </w:rPr>
        <w:t xml:space="preserve"> bukanlah ungkapan kosong yang turun dari langit untuk dilekatkan begitu saja pada kekuasaan kehakiman. </w:t>
      </w:r>
      <w:proofErr w:type="gramStart"/>
      <w:r w:rsidRPr="00773878">
        <w:rPr>
          <w:rFonts w:ascii="Book Antiqua" w:hAnsi="Book Antiqua" w:cs="Times New Roman"/>
        </w:rPr>
        <w:t>Independensi adalah proteksi yang berbasis pada kepercayaan terhadap manusia penyandang kewenangan yudikatif sebagai penegak keadilan yang harus dilindungi</w:t>
      </w:r>
      <w:r w:rsidR="008227E5" w:rsidRPr="00773878">
        <w:rPr>
          <w:rFonts w:ascii="Book Antiqua" w:hAnsi="Book Antiqua" w:cs="Times New Roman"/>
        </w:rPr>
        <w:t xml:space="preserve"> </w:t>
      </w:r>
      <w:r w:rsidRPr="00773878">
        <w:rPr>
          <w:rFonts w:ascii="Book Antiqua" w:hAnsi="Book Antiqua" w:cs="Times New Roman"/>
        </w:rPr>
        <w:t>dari</w:t>
      </w:r>
      <w:r w:rsidR="008227E5" w:rsidRPr="00773878">
        <w:rPr>
          <w:rFonts w:ascii="Book Antiqua" w:hAnsi="Book Antiqua" w:cs="Times New Roman"/>
        </w:rPr>
        <w:t xml:space="preserve"> </w:t>
      </w:r>
      <w:r w:rsidRPr="00773878">
        <w:rPr>
          <w:rFonts w:ascii="Book Antiqua" w:hAnsi="Book Antiqua" w:cs="Times New Roman"/>
        </w:rPr>
        <w:t>kemungkinan intervensi darimanapun agar dapat menjalankan kekuasaannya dengan baik dan benar</w:t>
      </w:r>
      <w:r w:rsidR="000A565A">
        <w:rPr>
          <w:rFonts w:ascii="Book Antiqua" w:hAnsi="Book Antiqua" w:cs="Times New Roman"/>
        </w:rPr>
        <w:t xml:space="preserve"> (Hans Kelsen, 2010</w:t>
      </w:r>
      <w:r w:rsidR="008227E5" w:rsidRPr="00773878">
        <w:rPr>
          <w:rFonts w:ascii="Book Antiqua" w:hAnsi="Book Antiqua" w:cs="Times New Roman"/>
        </w:rPr>
        <w:t>)</w:t>
      </w:r>
      <w:r w:rsidRPr="00773878">
        <w:rPr>
          <w:rFonts w:ascii="Book Antiqua" w:hAnsi="Book Antiqua" w:cs="Times New Roman"/>
        </w:rPr>
        <w:t>.</w:t>
      </w:r>
      <w:proofErr w:type="gramEnd"/>
      <w:r w:rsidRPr="00773878">
        <w:rPr>
          <w:rFonts w:ascii="Book Antiqua" w:hAnsi="Book Antiqua" w:cs="Times New Roman"/>
          <w:lang w:val="en-US"/>
        </w:rPr>
        <w:t xml:space="preserve"> </w:t>
      </w:r>
      <w:r w:rsidRPr="00773878">
        <w:rPr>
          <w:rFonts w:ascii="Book Antiqua" w:hAnsi="Book Antiqua" w:cs="Times New Roman"/>
        </w:rPr>
        <w:t>Belakangan independensi bahkan dinilai menjadi tameng pelindung para hakim dari pengawasan atas tindakan penyalahgunaan wewenang menyusul bermunculannya putusan putusan kontroversial yang mengabaikan rasa keadilan masyarakat. Mencuat dugaan bahwa penguatan independensi pada institusi dan sumber daya manusia hakim yang penuh masalah justru kontraproduktif. Atas dasar itulah mencuat gagasan agar independensi disertai dengan akuntabilitas. Bagaimana independensi dan akuntabilitas ini dipahami dan diletakkan dalam konteks kekuasaan kehakiman, dan dalam upaya membangun kepercayaan masyarakat terhadap putusan-putusan hakim; tulisan ini akan coba menjelaskan aspek-aspek dimaksud.</w:t>
      </w:r>
    </w:p>
    <w:p w14:paraId="4744CEA3" w14:textId="26D3B93E" w:rsidR="00273C9B" w:rsidRPr="00773878" w:rsidRDefault="00675419" w:rsidP="000A565A">
      <w:pPr>
        <w:shd w:val="clear" w:color="auto" w:fill="FFFFFF" w:themeFill="background1"/>
        <w:spacing w:after="0" w:line="276" w:lineRule="auto"/>
        <w:ind w:firstLine="567"/>
        <w:jc w:val="both"/>
        <w:rPr>
          <w:rFonts w:ascii="Book Antiqua" w:hAnsi="Book Antiqua" w:cs="Times New Roman"/>
        </w:rPr>
      </w:pPr>
      <w:r w:rsidRPr="00773878">
        <w:rPr>
          <w:rFonts w:ascii="Book Antiqua" w:hAnsi="Book Antiqua" w:cs="Times New Roman"/>
        </w:rPr>
        <w:t xml:space="preserve">Diketahui bahwa rezim otoritarian, lebih-lebih rezim militer dimanapun, tidak pernah menjadikan kekuasaan kehakiman dalam kontrol rezim. Bahkan, menjadi alat penuh kekuasaan untuk melegitimasi tindakan-tindakan menyimpang kekuasaan dan mendelegitimasi keabsahan hukum tindakan benar warga negaranya. Pengadilan atau putusan hakim adalah legalisasi resmi atas tindakan-tindakan haram rezim otoritarian terhadap siapa saja yang tidak sejalan atau menentang rezim, dan dengan </w:t>
      </w:r>
      <w:proofErr w:type="gramStart"/>
      <w:r w:rsidRPr="00773878">
        <w:rPr>
          <w:rFonts w:ascii="Book Antiqua" w:hAnsi="Book Antiqua" w:cs="Times New Roman"/>
        </w:rPr>
        <w:t>cara</w:t>
      </w:r>
      <w:proofErr w:type="gramEnd"/>
      <w:r w:rsidRPr="00773878">
        <w:rPr>
          <w:rFonts w:ascii="Book Antiqua" w:hAnsi="Book Antiqua" w:cs="Times New Roman"/>
        </w:rPr>
        <w:t xml:space="preserve"> itulah rezim otoritarian membela diri di hadapan dunia bahwa si penentang rezim telah melawan hukum dan dinyatakan bersalah oleh pengadilan</w:t>
      </w:r>
      <w:r w:rsidR="000A565A">
        <w:rPr>
          <w:rFonts w:ascii="Book Antiqua" w:hAnsi="Book Antiqua" w:cs="Times New Roman"/>
        </w:rPr>
        <w:t xml:space="preserve"> (Munir Fuadi, 2009</w:t>
      </w:r>
      <w:r w:rsidR="008227E5" w:rsidRPr="00773878">
        <w:rPr>
          <w:rFonts w:ascii="Book Antiqua" w:hAnsi="Book Antiqua" w:cs="Times New Roman"/>
        </w:rPr>
        <w:t>)</w:t>
      </w:r>
      <w:r w:rsidRPr="00773878">
        <w:rPr>
          <w:rFonts w:ascii="Book Antiqua" w:hAnsi="Book Antiqua" w:cs="Times New Roman"/>
        </w:rPr>
        <w:t>. Praktik pengadilan terhadap mereka yang dituduh melakukan tindakan melawan negara dengan tuduhan subversif dalam</w:t>
      </w:r>
      <w:r w:rsidRPr="00773878">
        <w:rPr>
          <w:rFonts w:ascii="Book Antiqua" w:hAnsi="Book Antiqua" w:cs="Times New Roman"/>
          <w:lang w:val="en-US"/>
        </w:rPr>
        <w:t xml:space="preserve"> </w:t>
      </w:r>
      <w:r w:rsidRPr="00773878">
        <w:rPr>
          <w:rFonts w:ascii="Book Antiqua" w:hAnsi="Book Antiqua" w:cs="Times New Roman"/>
        </w:rPr>
        <w:t>berbagai bentuk di era Orde Baru adalah contoh dari pengadilan demikian itu.</w:t>
      </w:r>
      <w:r w:rsidRPr="00773878">
        <w:rPr>
          <w:rFonts w:ascii="Book Antiqua" w:hAnsi="Book Antiqua" w:cs="Times New Roman"/>
          <w:lang w:val="en-US"/>
        </w:rPr>
        <w:t xml:space="preserve"> </w:t>
      </w:r>
      <w:proofErr w:type="gramStart"/>
      <w:r w:rsidRPr="00773878">
        <w:rPr>
          <w:rFonts w:ascii="Book Antiqua" w:hAnsi="Book Antiqua" w:cs="Times New Roman"/>
        </w:rPr>
        <w:t xml:space="preserve">Karena itu, dalam transisi politik dari rezim otoritarian ke demokrasi, kedudukan kekuasaan kehakiman selalu mendapatkan perhatian utama untuk dibenahi, karena aspek </w:t>
      </w:r>
      <w:r w:rsidRPr="00773878">
        <w:rPr>
          <w:rFonts w:ascii="Book Antiqua" w:hAnsi="Book Antiqua" w:cs="Times New Roman"/>
        </w:rPr>
        <w:lastRenderedPageBreak/>
        <w:t>ini menjadi salah satu indikator utama untuk menilai apakah transisi rezim di suatu negara bergerak ke demokrasi atau tidak</w:t>
      </w:r>
      <w:r w:rsidR="000A565A">
        <w:rPr>
          <w:rFonts w:ascii="Book Antiqua" w:hAnsi="Book Antiqua" w:cs="Times New Roman"/>
        </w:rPr>
        <w:t xml:space="preserve"> (Romi Librayanto, 2009</w:t>
      </w:r>
      <w:r w:rsidR="008227E5" w:rsidRPr="00773878">
        <w:rPr>
          <w:rFonts w:ascii="Book Antiqua" w:hAnsi="Book Antiqua" w:cs="Times New Roman"/>
        </w:rPr>
        <w:t>)</w:t>
      </w:r>
      <w:r w:rsidRPr="00773878">
        <w:rPr>
          <w:rFonts w:ascii="Book Antiqua" w:hAnsi="Book Antiqua" w:cs="Times New Roman"/>
        </w:rPr>
        <w:t>.</w:t>
      </w:r>
      <w:proofErr w:type="gramEnd"/>
    </w:p>
    <w:p w14:paraId="51059003" w14:textId="77777777" w:rsidR="00273C9B" w:rsidRPr="00773878" w:rsidRDefault="00675419" w:rsidP="000A565A">
      <w:pPr>
        <w:shd w:val="clear" w:color="auto" w:fill="FFFFFF" w:themeFill="background1"/>
        <w:spacing w:after="0" w:line="276" w:lineRule="auto"/>
        <w:ind w:firstLine="567"/>
        <w:jc w:val="both"/>
        <w:rPr>
          <w:rFonts w:ascii="Book Antiqua" w:hAnsi="Book Antiqua" w:cs="Times New Roman"/>
        </w:rPr>
      </w:pPr>
      <w:r w:rsidRPr="00773878">
        <w:rPr>
          <w:rFonts w:ascii="Book Antiqua" w:hAnsi="Book Antiqua" w:cs="Times New Roman"/>
        </w:rPr>
        <w:t xml:space="preserve">Dalam transisi politik di Indonesia pasca Orde Baru, memang terdapat perubahan mendasar kedudukan kekuasaan kehakiman di dalam UUD 1945 yang baru yang menandakan adanya transisi rezim ke demokrasi secara signifikan. Perubahan dimaksud dimuat dalam Pasal 24A ayat (1) yang menyatakan </w:t>
      </w:r>
      <w:r w:rsidRPr="00F078AA">
        <w:rPr>
          <w:rFonts w:ascii="Book Antiqua" w:hAnsi="Book Antiqua" w:cs="Times New Roman"/>
        </w:rPr>
        <w:t>“kekuasaan kehakiman merupakan</w:t>
      </w:r>
      <w:r w:rsidRPr="00F078AA">
        <w:rPr>
          <w:rFonts w:ascii="Book Antiqua" w:hAnsi="Book Antiqua" w:cs="Times New Roman"/>
          <w:lang w:val="en-US"/>
        </w:rPr>
        <w:t xml:space="preserve"> </w:t>
      </w:r>
      <w:r w:rsidRPr="00F078AA">
        <w:rPr>
          <w:rFonts w:ascii="Book Antiqua" w:hAnsi="Book Antiqua" w:cs="Times New Roman"/>
        </w:rPr>
        <w:t>kekuasaan yang merdeka untuk</w:t>
      </w:r>
      <w:r w:rsidRPr="00F078AA">
        <w:rPr>
          <w:rFonts w:ascii="Book Antiqua" w:hAnsi="Book Antiqua" w:cs="Times New Roman"/>
          <w:lang w:val="en-US"/>
        </w:rPr>
        <w:t xml:space="preserve"> </w:t>
      </w:r>
      <w:r w:rsidRPr="00F078AA">
        <w:rPr>
          <w:rFonts w:ascii="Book Antiqua" w:hAnsi="Book Antiqua" w:cs="Times New Roman"/>
        </w:rPr>
        <w:t>menyelenggarakan peradilan guna</w:t>
      </w:r>
      <w:r w:rsidRPr="00F078AA">
        <w:rPr>
          <w:rFonts w:ascii="Book Antiqua" w:hAnsi="Book Antiqua" w:cs="Times New Roman"/>
          <w:lang w:val="en-US"/>
        </w:rPr>
        <w:t xml:space="preserve"> </w:t>
      </w:r>
      <w:r w:rsidRPr="00F078AA">
        <w:rPr>
          <w:rFonts w:ascii="Book Antiqua" w:hAnsi="Book Antiqua" w:cs="Times New Roman"/>
        </w:rPr>
        <w:t>menegakkan hukum dan keadilan”. Ayat (2)-nya menyatakan, “kekuasaan</w:t>
      </w:r>
      <w:r w:rsidRPr="00F078AA">
        <w:rPr>
          <w:rFonts w:ascii="Book Antiqua" w:hAnsi="Book Antiqua" w:cs="Times New Roman"/>
          <w:lang w:val="en-US"/>
        </w:rPr>
        <w:t xml:space="preserve"> </w:t>
      </w:r>
      <w:r w:rsidRPr="00F078AA">
        <w:rPr>
          <w:rFonts w:ascii="Book Antiqua" w:hAnsi="Book Antiqua" w:cs="Times New Roman"/>
        </w:rPr>
        <w:t>kehakiman tidak hanya dilakukan oleh sebuah Mahkamah Agung, tetapijuga oleh sebuah Mahkamah Konstitusi”.</w:t>
      </w:r>
      <w:r w:rsidRPr="00F078AA">
        <w:rPr>
          <w:rFonts w:ascii="Book Antiqua" w:hAnsi="Book Antiqua" w:cs="Times New Roman"/>
          <w:lang w:val="en-US"/>
        </w:rPr>
        <w:t xml:space="preserve"> </w:t>
      </w:r>
      <w:r w:rsidRPr="00773878">
        <w:rPr>
          <w:rFonts w:ascii="Book Antiqua" w:hAnsi="Book Antiqua" w:cs="Times New Roman"/>
        </w:rPr>
        <w:t>Di luar itu, dalam Pasal 24B Ayat (1) terdapat pula lembaga negara baru yaitu Komisi Yudisial yang berwenang mengusulkan pengangkatan hakim agung dan mempunyai wewenang lain dalam rangka menjaga dan menegakkan kehormatan, keluhuran martabat, serta perilaku hakim. Substansi yang dimuat dalam rangkaian Pasal 24 UUD NRI Tahun 1945 itu menegaskan dan menjamin tiga dimensi kekuasaan kehakiman, yaitu:</w:t>
      </w:r>
      <w:r w:rsidRPr="00773878">
        <w:rPr>
          <w:rFonts w:ascii="Book Antiqua" w:hAnsi="Book Antiqua" w:cs="Times New Roman"/>
          <w:lang w:val="en-US"/>
        </w:rPr>
        <w:t xml:space="preserve"> </w:t>
      </w:r>
      <w:r w:rsidRPr="00F078AA">
        <w:rPr>
          <w:rFonts w:ascii="Book Antiqua" w:hAnsi="Book Antiqua" w:cs="Times New Roman"/>
        </w:rPr>
        <w:t>Pertama,</w:t>
      </w:r>
      <w:r w:rsidRPr="00773878">
        <w:rPr>
          <w:rFonts w:ascii="Book Antiqua" w:hAnsi="Book Antiqua" w:cs="Times New Roman"/>
          <w:i/>
          <w:iCs/>
        </w:rPr>
        <w:t xml:space="preserve"> </w:t>
      </w:r>
      <w:r w:rsidRPr="00773878">
        <w:rPr>
          <w:rFonts w:ascii="Book Antiqua" w:hAnsi="Book Antiqua" w:cs="Times New Roman"/>
        </w:rPr>
        <w:t xml:space="preserve">dimensi kemerdekaan kekuasaan kehakiman dalam lingkungan peradilan di bawah Mahkamah Agung. </w:t>
      </w:r>
      <w:r w:rsidRPr="00F078AA">
        <w:rPr>
          <w:rFonts w:ascii="Book Antiqua" w:hAnsi="Book Antiqua" w:cs="Times New Roman"/>
        </w:rPr>
        <w:t>Kedua</w:t>
      </w:r>
      <w:r w:rsidRPr="00773878">
        <w:rPr>
          <w:rFonts w:ascii="Book Antiqua" w:hAnsi="Book Antiqua" w:cs="Times New Roman"/>
          <w:i/>
          <w:iCs/>
        </w:rPr>
        <w:t xml:space="preserve">, </w:t>
      </w:r>
      <w:r w:rsidRPr="00773878">
        <w:rPr>
          <w:rFonts w:ascii="Book Antiqua" w:hAnsi="Book Antiqua" w:cs="Times New Roman"/>
        </w:rPr>
        <w:t xml:space="preserve">dimensi kekuasaan kehakiman lain oleh Mahkamah Konstitusi, dan </w:t>
      </w:r>
      <w:r w:rsidRPr="00F078AA">
        <w:rPr>
          <w:rFonts w:ascii="Book Antiqua" w:hAnsi="Book Antiqua" w:cs="Times New Roman"/>
        </w:rPr>
        <w:t>Ketiga</w:t>
      </w:r>
      <w:r w:rsidRPr="00773878">
        <w:rPr>
          <w:rFonts w:ascii="Book Antiqua" w:hAnsi="Book Antiqua" w:cs="Times New Roman"/>
          <w:i/>
          <w:iCs/>
        </w:rPr>
        <w:t xml:space="preserve">, </w:t>
      </w:r>
      <w:r w:rsidRPr="00773878">
        <w:rPr>
          <w:rFonts w:ascii="Book Antiqua" w:hAnsi="Book Antiqua" w:cs="Times New Roman"/>
        </w:rPr>
        <w:t>dimensi kekuasaan kehakiman dalam rangka mengusulkan pengangkatan hakim</w:t>
      </w:r>
      <w:r w:rsidRPr="00773878">
        <w:rPr>
          <w:rFonts w:ascii="Book Antiqua" w:hAnsi="Book Antiqua" w:cs="Times New Roman"/>
          <w:lang w:val="en-US"/>
        </w:rPr>
        <w:t xml:space="preserve"> </w:t>
      </w:r>
      <w:r w:rsidRPr="00773878">
        <w:rPr>
          <w:rFonts w:ascii="Book Antiqua" w:hAnsi="Book Antiqua" w:cs="Times New Roman"/>
        </w:rPr>
        <w:t>agung dan menjaga dan menegakkan kehormatan, keluhuran martabat serta perilaku hakim.</w:t>
      </w:r>
    </w:p>
    <w:p w14:paraId="7E0F705F" w14:textId="64B193D6" w:rsidR="00273C9B" w:rsidRPr="00773878" w:rsidRDefault="00675419" w:rsidP="000A565A">
      <w:pPr>
        <w:shd w:val="clear" w:color="auto" w:fill="FFFFFF" w:themeFill="background1"/>
        <w:spacing w:after="0" w:line="276" w:lineRule="auto"/>
        <w:ind w:firstLine="567"/>
        <w:jc w:val="both"/>
        <w:rPr>
          <w:rFonts w:ascii="Book Antiqua" w:hAnsi="Book Antiqua" w:cs="Times New Roman"/>
        </w:rPr>
      </w:pPr>
      <w:r w:rsidRPr="00773878">
        <w:rPr>
          <w:rFonts w:ascii="Book Antiqua" w:hAnsi="Book Antiqua" w:cs="Times New Roman"/>
        </w:rPr>
        <w:t>Independensi bukan pemberian hukum atau negara, tapi otomatis melekat semenjak seseorang menjadi hakim. Independensi para pengadil (hakim) sudah ada jauh sebelum hukum modern (hukum positif) lahir. Pada mulanya para pengadil itu dipercaya independen karena reputasi pribadinya, bukan karena jaminan etik atau hukum. Setelah hukum positif (hukum modern) menginstitusionalisasi sistem penegakan hukum, barulah Negara dan hukum melegalisasi dan melegitimasinya sehingga prinsip independensi memiliki kekuatan mengikat bagi hakim dan pihak lain</w:t>
      </w:r>
      <w:r w:rsidR="008227E5" w:rsidRPr="00773878">
        <w:rPr>
          <w:rFonts w:ascii="Book Antiqua" w:hAnsi="Book Antiqua" w:cs="Times New Roman"/>
        </w:rPr>
        <w:t xml:space="preserve"> (Niken Octa Silviana, 2010:31)</w:t>
      </w:r>
      <w:r w:rsidRPr="00773878">
        <w:rPr>
          <w:rFonts w:ascii="Book Antiqua" w:hAnsi="Book Antiqua" w:cs="Times New Roman"/>
        </w:rPr>
        <w:t xml:space="preserve">. Independensi dengan demikian bukan temuan baru yang dilekatkan menjadi keharusan etis atau hukum pada hakim, tetapi </w:t>
      </w:r>
      <w:r w:rsidRPr="00F078AA">
        <w:rPr>
          <w:rFonts w:ascii="Book Antiqua" w:hAnsi="Book Antiqua" w:cs="Times New Roman"/>
        </w:rPr>
        <w:t>build-in</w:t>
      </w:r>
      <w:r w:rsidRPr="00773878">
        <w:rPr>
          <w:rFonts w:ascii="Book Antiqua" w:hAnsi="Book Antiqua" w:cs="Times New Roman"/>
          <w:i/>
          <w:iCs/>
        </w:rPr>
        <w:t xml:space="preserve"> </w:t>
      </w:r>
      <w:r w:rsidRPr="00773878">
        <w:rPr>
          <w:rFonts w:ascii="Book Antiqua" w:hAnsi="Book Antiqua" w:cs="Times New Roman"/>
        </w:rPr>
        <w:t>dalam diri hakim. Kokoh tidaknya independensi hakim sangat tergantung pada</w:t>
      </w:r>
      <w:r w:rsidRPr="00773878">
        <w:rPr>
          <w:rFonts w:ascii="Book Antiqua" w:hAnsi="Book Antiqua" w:cs="Times New Roman"/>
          <w:lang w:val="en-US"/>
        </w:rPr>
        <w:t xml:space="preserve"> </w:t>
      </w:r>
      <w:r w:rsidRPr="00F078AA">
        <w:rPr>
          <w:rFonts w:ascii="Book Antiqua" w:hAnsi="Book Antiqua" w:cs="Times New Roman"/>
        </w:rPr>
        <w:t>personality</w:t>
      </w:r>
      <w:r w:rsidRPr="00773878">
        <w:rPr>
          <w:rFonts w:ascii="Book Antiqua" w:hAnsi="Book Antiqua" w:cs="Times New Roman"/>
          <w:i/>
          <w:iCs/>
        </w:rPr>
        <w:t xml:space="preserve"> </w:t>
      </w:r>
      <w:r w:rsidRPr="00773878">
        <w:rPr>
          <w:rFonts w:ascii="Book Antiqua" w:hAnsi="Book Antiqua" w:cs="Times New Roman"/>
        </w:rPr>
        <w:t>hakim bersangkutan. Hakim yang cacat moral dan/atau tidak kompeten adalah hakim rapuh. Cacat moral, berarti tersandera atau tidak merdeka karena kecacatannya. Tidak kompeten di bidangnya, berarti tidak memiliki keyakinan keilmuan yang kuat sehingga mudah goyah. Agar independensi dapat diemban dengan baik dan benar, hakim mutlak harus mempunyai kekuatan moral dan intelektual yang tangguh sehingga memiliki kendali pikiran yang bisa memberikan arahan dalam bertindak menjalankan aktivitas kehakimannya. Menjadi hakim berarti menjadi moralis dan penjaga moral, menjadi intelektual, menjadi cendekiawan yang tidak pernah berhenti berpikir, menjaga kebersihan diri dan memperjuangkan kebenaran dan keadilan</w:t>
      </w:r>
      <w:r w:rsidR="00AC3B78" w:rsidRPr="00773878">
        <w:rPr>
          <w:rFonts w:ascii="Book Antiqua" w:hAnsi="Book Antiqua" w:cs="Times New Roman"/>
        </w:rPr>
        <w:t xml:space="preserve"> (Bintan. R. Saragih</w:t>
      </w:r>
      <w:r w:rsidR="00AC3B78" w:rsidRPr="00773878">
        <w:rPr>
          <w:rFonts w:ascii="Book Antiqua" w:hAnsi="Book Antiqua" w:cs="Times New Roman"/>
          <w:lang w:val="en-US"/>
        </w:rPr>
        <w:t xml:space="preserve">, </w:t>
      </w:r>
      <w:r w:rsidR="000A565A">
        <w:rPr>
          <w:rFonts w:ascii="Book Antiqua" w:hAnsi="Book Antiqua" w:cs="Times New Roman"/>
        </w:rPr>
        <w:t>1990</w:t>
      </w:r>
      <w:r w:rsidR="00AC3B78" w:rsidRPr="00773878">
        <w:rPr>
          <w:rFonts w:ascii="Book Antiqua" w:hAnsi="Book Antiqua" w:cs="Times New Roman"/>
        </w:rPr>
        <w:t>)</w:t>
      </w:r>
      <w:r w:rsidRPr="00773878">
        <w:rPr>
          <w:rFonts w:ascii="Book Antiqua" w:hAnsi="Book Antiqua" w:cs="Times New Roman"/>
        </w:rPr>
        <w:t>.</w:t>
      </w:r>
    </w:p>
    <w:p w14:paraId="4026A7A3" w14:textId="07A055DC" w:rsidR="00273C9B" w:rsidRPr="00773878" w:rsidRDefault="00675419" w:rsidP="000A565A">
      <w:pPr>
        <w:shd w:val="clear" w:color="auto" w:fill="FFFFFF" w:themeFill="background1"/>
        <w:spacing w:after="0" w:line="276" w:lineRule="auto"/>
        <w:ind w:firstLine="567"/>
        <w:jc w:val="both"/>
        <w:rPr>
          <w:rFonts w:ascii="Book Antiqua" w:hAnsi="Book Antiqua" w:cs="Times New Roman"/>
        </w:rPr>
      </w:pPr>
      <w:r w:rsidRPr="00773878">
        <w:rPr>
          <w:rFonts w:ascii="Book Antiqua" w:hAnsi="Book Antiqua" w:cs="Times New Roman"/>
        </w:rPr>
        <w:t>Independensi</w:t>
      </w:r>
      <w:r w:rsidR="00273C9B" w:rsidRPr="00773878">
        <w:rPr>
          <w:rFonts w:ascii="Book Antiqua" w:hAnsi="Book Antiqua" w:cs="Times New Roman"/>
          <w:lang w:val="en-US"/>
        </w:rPr>
        <w:t xml:space="preserve"> </w:t>
      </w:r>
      <w:r w:rsidRPr="00773878">
        <w:rPr>
          <w:rFonts w:ascii="Book Antiqua" w:hAnsi="Book Antiqua" w:cs="Times New Roman"/>
        </w:rPr>
        <w:t>hakim merupakan syarat mutlak</w:t>
      </w:r>
      <w:r w:rsidRPr="00773878">
        <w:rPr>
          <w:rFonts w:ascii="Book Antiqua" w:hAnsi="Book Antiqua" w:cs="Times New Roman"/>
          <w:lang w:val="en-US"/>
        </w:rPr>
        <w:t xml:space="preserve"> </w:t>
      </w:r>
      <w:r w:rsidRPr="00F078AA">
        <w:rPr>
          <w:rFonts w:ascii="Book Antiqua" w:hAnsi="Book Antiqua" w:cs="Times New Roman"/>
        </w:rPr>
        <w:t>(conditio sine</w:t>
      </w:r>
      <w:r w:rsidR="00273C9B" w:rsidRPr="00F078AA">
        <w:rPr>
          <w:rFonts w:ascii="Book Antiqua" w:hAnsi="Book Antiqua" w:cs="Times New Roman"/>
        </w:rPr>
        <w:t xml:space="preserve"> </w:t>
      </w:r>
      <w:r w:rsidRPr="00F078AA">
        <w:rPr>
          <w:rFonts w:ascii="Book Antiqua" w:hAnsi="Book Antiqua" w:cs="Times New Roman"/>
        </w:rPr>
        <w:t>quanon)</w:t>
      </w:r>
      <w:r w:rsidRPr="00773878">
        <w:rPr>
          <w:rFonts w:ascii="Book Antiqua" w:hAnsi="Book Antiqua" w:cs="Times New Roman"/>
          <w:i/>
          <w:iCs/>
        </w:rPr>
        <w:t xml:space="preserve"> </w:t>
      </w:r>
      <w:r w:rsidRPr="00773878">
        <w:rPr>
          <w:rFonts w:ascii="Book Antiqua" w:hAnsi="Book Antiqua" w:cs="Times New Roman"/>
        </w:rPr>
        <w:t>tegaknya hukum dan keadilan yang harus mendapat jaminan konstitusional yang kuat, sehingga hakim bebas dari pengaruh, bujukan, tekanan, ancaman atau gangguan secara langsung atau tidak langsung dalam melaksanakan tugas dan kewenangan peradilan</w:t>
      </w:r>
      <w:r w:rsidR="000A565A">
        <w:rPr>
          <w:rFonts w:ascii="Book Antiqua" w:hAnsi="Book Antiqua" w:cs="Times New Roman"/>
        </w:rPr>
        <w:t xml:space="preserve"> (Idul Rishan, 2013</w:t>
      </w:r>
      <w:r w:rsidR="00AC3B78" w:rsidRPr="00773878">
        <w:rPr>
          <w:rFonts w:ascii="Book Antiqua" w:hAnsi="Book Antiqua" w:cs="Times New Roman"/>
        </w:rPr>
        <w:t>)</w:t>
      </w:r>
      <w:r w:rsidRPr="00773878">
        <w:rPr>
          <w:rFonts w:ascii="Book Antiqua" w:hAnsi="Book Antiqua" w:cs="Times New Roman"/>
        </w:rPr>
        <w:t>.</w:t>
      </w:r>
      <w:r w:rsidRPr="00773878">
        <w:rPr>
          <w:rFonts w:ascii="Book Antiqua" w:hAnsi="Book Antiqua" w:cs="Times New Roman"/>
          <w:lang w:val="en-US"/>
        </w:rPr>
        <w:t xml:space="preserve"> </w:t>
      </w:r>
      <w:r w:rsidRPr="00773878">
        <w:rPr>
          <w:rFonts w:ascii="Book Antiqua" w:hAnsi="Book Antiqua" w:cs="Times New Roman"/>
        </w:rPr>
        <w:t xml:space="preserve">Sekalipun independensi syarat mutlak terbangunnya pengadilan yang dapat dipercaya, tetapi prinsip tersebut bukanlah kekebalan (imunitas). Penggunaannya harus dapat dipertanggungjawabkan, dilaksanakan dengan baik, sumber daya dipakai secara </w:t>
      </w:r>
      <w:r w:rsidRPr="00773878">
        <w:rPr>
          <w:rFonts w:ascii="Book Antiqua" w:hAnsi="Book Antiqua" w:cs="Times New Roman"/>
        </w:rPr>
        <w:lastRenderedPageBreak/>
        <w:t xml:space="preserve">patut. Independensi dibatasi oleh asas-asas umum berperkara yang baik, oleh hukum materiil dan formil yang berlaku, kehendak para pihak yang berperkara, komitmen moral dan ketuhanan para hakim, Kode Etik dan Pedoman Perilaku Hakim (KEPPH), nilai-nilai keadilan, serta pengawasan. Tidak mungkin ada kekuasaan tidak terkontrol di era negara hukum dan demokratis. Independensi tanpa pengawasan berpotensi terjadi manipulasi, menjadi “jaket kebal hukum” atau bungker kejahatan. Independensi bukan cek kosong yang bisa semaunya dijalankan hakim. Ia dibingkai oleh keharusan-keharusan untuk taat dan menjalankan perintah agama, hukum, moral, etika dan perilaku. </w:t>
      </w:r>
      <w:proofErr w:type="gramStart"/>
      <w:r w:rsidRPr="00773878">
        <w:rPr>
          <w:rFonts w:ascii="Book Antiqua" w:hAnsi="Book Antiqua" w:cs="Times New Roman"/>
        </w:rPr>
        <w:t>Semua itu adalah rambu-rambu keharusan yang tidak boleh diabaikan hakim, sekaligus disitulah batasbatas pertanggungjawaban atas kemerdekaan yang diperoleh dan dijalankan hakim.</w:t>
      </w:r>
      <w:proofErr w:type="gramEnd"/>
    </w:p>
    <w:p w14:paraId="39035AFB" w14:textId="53FA016A" w:rsidR="00273C9B" w:rsidRPr="00773878" w:rsidRDefault="000A565A" w:rsidP="000A565A">
      <w:pPr>
        <w:shd w:val="clear" w:color="auto" w:fill="FFFFFF" w:themeFill="background1"/>
        <w:spacing w:after="0" w:line="276" w:lineRule="auto"/>
        <w:ind w:firstLine="567"/>
        <w:jc w:val="both"/>
        <w:rPr>
          <w:rFonts w:ascii="Book Antiqua" w:hAnsi="Book Antiqua" w:cs="Times New Roman"/>
        </w:rPr>
      </w:pPr>
      <w:proofErr w:type="gramStart"/>
      <w:r>
        <w:rPr>
          <w:rFonts w:ascii="Book Antiqua" w:hAnsi="Book Antiqua" w:cs="Times New Roman"/>
        </w:rPr>
        <w:t>U</w:t>
      </w:r>
      <w:r w:rsidR="00675419" w:rsidRPr="00773878">
        <w:rPr>
          <w:rFonts w:ascii="Book Antiqua" w:hAnsi="Book Antiqua" w:cs="Times New Roman"/>
        </w:rPr>
        <w:t>ntuk menunjang kekuasaan kehakiman yang mandiri dan terciptanya independensi peradilan maka perekrutan hakim agung mendapatkan perhatian utama.</w:t>
      </w:r>
      <w:proofErr w:type="gramEnd"/>
      <w:r w:rsidR="00675419" w:rsidRPr="00773878">
        <w:rPr>
          <w:rFonts w:ascii="Book Antiqua" w:hAnsi="Book Antiqua" w:cs="Times New Roman"/>
        </w:rPr>
        <w:t xml:space="preserve"> Terlepas dari itu</w:t>
      </w:r>
      <w:r w:rsidR="00AC3B78" w:rsidRPr="00773878">
        <w:rPr>
          <w:rFonts w:ascii="Book Antiqua" w:hAnsi="Book Antiqua" w:cs="Times New Roman"/>
        </w:rPr>
        <w:t xml:space="preserve">, </w:t>
      </w:r>
      <w:r w:rsidR="00675419" w:rsidRPr="00773878">
        <w:rPr>
          <w:rFonts w:ascii="Book Antiqua" w:hAnsi="Book Antiqua" w:cs="Times New Roman"/>
        </w:rPr>
        <w:t>sistem perekrutan hakim agung yang ada pada saat ini telah melalui beberapa seleksi atau tahapan</w:t>
      </w:r>
      <w:r w:rsidR="00AC3B78" w:rsidRPr="00773878">
        <w:rPr>
          <w:rFonts w:ascii="Book Antiqua" w:hAnsi="Book Antiqua" w:cs="Times New Roman"/>
        </w:rPr>
        <w:t>-</w:t>
      </w:r>
      <w:r w:rsidR="00675419" w:rsidRPr="00773878">
        <w:rPr>
          <w:rFonts w:ascii="Book Antiqua" w:hAnsi="Book Antiqua" w:cs="Times New Roman"/>
        </w:rPr>
        <w:t xml:space="preserve">tahapan yang ketat dikomisi yudisial, hal yang paling penting dalam sistem seleksi di komisi yudisial adalah kapasitas keilmuan dan integritas moral sehingga calon hakim agung yang di ajukan oleh komisi yudisial ke </w:t>
      </w:r>
      <w:r w:rsidR="00675419" w:rsidRPr="00773878">
        <w:rPr>
          <w:rFonts w:ascii="Book Antiqua" w:hAnsi="Book Antiqua" w:cs="Times New Roman"/>
          <w:lang w:val="en-US"/>
        </w:rPr>
        <w:t xml:space="preserve">DPR </w:t>
      </w:r>
      <w:r w:rsidR="00675419" w:rsidRPr="00773878">
        <w:rPr>
          <w:rFonts w:ascii="Book Antiqua" w:hAnsi="Book Antiqua" w:cs="Times New Roman"/>
        </w:rPr>
        <w:t>merupakan calon-calon yang sudah teruji akan tetapi undang-undang mengamanatkan DPR untuk memilih sehingga ini yang diharapkan, DPR dapat mempertanggung jawabkan pilihannya</w:t>
      </w:r>
      <w:r w:rsidR="00AC3B78" w:rsidRPr="00773878">
        <w:rPr>
          <w:rFonts w:ascii="Book Antiqua" w:hAnsi="Book Antiqua" w:cs="Times New Roman"/>
          <w:lang w:val="en-US"/>
        </w:rPr>
        <w:t xml:space="preserve"> (</w:t>
      </w:r>
      <w:r>
        <w:rPr>
          <w:rFonts w:ascii="Book Antiqua" w:hAnsi="Book Antiqua" w:cs="Times New Roman"/>
        </w:rPr>
        <w:t>Mexsasai Indra, 2011</w:t>
      </w:r>
      <w:r w:rsidR="00AC3B78" w:rsidRPr="00773878">
        <w:rPr>
          <w:rFonts w:ascii="Book Antiqua" w:hAnsi="Book Antiqua" w:cs="Times New Roman"/>
        </w:rPr>
        <w:t>)</w:t>
      </w:r>
      <w:r w:rsidR="00675419" w:rsidRPr="00773878">
        <w:rPr>
          <w:rFonts w:ascii="Book Antiqua" w:hAnsi="Book Antiqua" w:cs="Times New Roman"/>
          <w:lang w:val="en-US"/>
        </w:rPr>
        <w:t>.</w:t>
      </w:r>
    </w:p>
    <w:p w14:paraId="259AD988" w14:textId="3789FC76" w:rsidR="00273C9B" w:rsidRPr="00773878" w:rsidRDefault="00AC3B78" w:rsidP="000A565A">
      <w:pPr>
        <w:shd w:val="clear" w:color="auto" w:fill="FFFFFF" w:themeFill="background1"/>
        <w:spacing w:after="0" w:line="276" w:lineRule="auto"/>
        <w:ind w:firstLine="567"/>
        <w:jc w:val="both"/>
        <w:rPr>
          <w:rFonts w:ascii="Book Antiqua" w:hAnsi="Book Antiqua" w:cs="Times New Roman"/>
        </w:rPr>
      </w:pPr>
      <w:r w:rsidRPr="00773878">
        <w:rPr>
          <w:rFonts w:ascii="Book Antiqua" w:hAnsi="Book Antiqua" w:cs="Times New Roman"/>
        </w:rPr>
        <w:t>K</w:t>
      </w:r>
      <w:r w:rsidR="00675419" w:rsidRPr="00773878">
        <w:rPr>
          <w:rFonts w:ascii="Book Antiqua" w:hAnsi="Book Antiqua" w:cs="Times New Roman"/>
        </w:rPr>
        <w:t xml:space="preserve">endala dalam memperoleh hakim agung yang berkualitas kadang disebabkan karena keengganan para </w:t>
      </w:r>
      <w:r w:rsidR="00675419" w:rsidRPr="00F078AA">
        <w:rPr>
          <w:rFonts w:ascii="Book Antiqua" w:hAnsi="Book Antiqua" w:cs="Times New Roman"/>
        </w:rPr>
        <w:t>“potential candidate”</w:t>
      </w:r>
      <w:r w:rsidR="00675419" w:rsidRPr="00773878">
        <w:rPr>
          <w:rFonts w:ascii="Book Antiqua" w:hAnsi="Book Antiqua" w:cs="Times New Roman"/>
        </w:rPr>
        <w:t xml:space="preserve"> untuk menjalani seleksi khususnya </w:t>
      </w:r>
      <w:r w:rsidR="00675419" w:rsidRPr="00F078AA">
        <w:rPr>
          <w:rFonts w:ascii="Book Antiqua" w:hAnsi="Book Antiqua" w:cs="Times New Roman"/>
        </w:rPr>
        <w:t>fit and proper test</w:t>
      </w:r>
      <w:r w:rsidR="00675419" w:rsidRPr="00773878">
        <w:rPr>
          <w:rFonts w:ascii="Book Antiqua" w:hAnsi="Book Antiqua" w:cs="Times New Roman"/>
        </w:rPr>
        <w:t xml:space="preserve"> di DPR. Beberapa yang menjadi alasan antara lain</w:t>
      </w:r>
      <w:r w:rsidRPr="00773878">
        <w:rPr>
          <w:rFonts w:ascii="Book Antiqua" w:hAnsi="Book Antiqua" w:cs="Times New Roman"/>
        </w:rPr>
        <w:t xml:space="preserve"> (Rahardjo, Satjipto, 2009):</w:t>
      </w:r>
    </w:p>
    <w:p w14:paraId="6B6AED31" w14:textId="77777777" w:rsidR="00273C9B" w:rsidRPr="00773878" w:rsidRDefault="00675419" w:rsidP="000A565A">
      <w:pPr>
        <w:pStyle w:val="ListParagraph"/>
        <w:numPr>
          <w:ilvl w:val="0"/>
          <w:numId w:val="5"/>
        </w:numPr>
        <w:shd w:val="clear" w:color="auto" w:fill="FFFFFF" w:themeFill="background1"/>
        <w:spacing w:after="0"/>
        <w:ind w:left="284" w:hanging="284"/>
        <w:jc w:val="both"/>
        <w:rPr>
          <w:rFonts w:ascii="Book Antiqua" w:hAnsi="Book Antiqua" w:cs="Times New Roman"/>
        </w:rPr>
      </w:pPr>
      <w:r w:rsidRPr="00773878">
        <w:rPr>
          <w:rFonts w:ascii="Book Antiqua" w:hAnsi="Book Antiqua" w:cs="Times New Roman"/>
        </w:rPr>
        <w:t xml:space="preserve">Pertanyaan yang kerap sebagai ajang untuk mempermalukan seseorang. </w:t>
      </w:r>
    </w:p>
    <w:p w14:paraId="6D2767E7" w14:textId="77777777" w:rsidR="00273C9B" w:rsidRPr="00773878" w:rsidRDefault="00675419" w:rsidP="000A565A">
      <w:pPr>
        <w:pStyle w:val="ListParagraph"/>
        <w:numPr>
          <w:ilvl w:val="0"/>
          <w:numId w:val="5"/>
        </w:numPr>
        <w:shd w:val="clear" w:color="auto" w:fill="FFFFFF" w:themeFill="background1"/>
        <w:spacing w:after="0"/>
        <w:ind w:left="284" w:hanging="284"/>
        <w:jc w:val="both"/>
        <w:rPr>
          <w:rFonts w:ascii="Book Antiqua" w:hAnsi="Book Antiqua" w:cs="Times New Roman"/>
        </w:rPr>
      </w:pPr>
      <w:r w:rsidRPr="00773878">
        <w:rPr>
          <w:rFonts w:ascii="Book Antiqua" w:hAnsi="Book Antiqua" w:cs="Times New Roman"/>
        </w:rPr>
        <w:t xml:space="preserve">Pertanyaan yang dianggap tidak sesuai dengan tujuan dari tanya jawab. </w:t>
      </w:r>
    </w:p>
    <w:p w14:paraId="7D4472AB" w14:textId="77777777" w:rsidR="00273C9B" w:rsidRPr="00773878" w:rsidRDefault="00675419" w:rsidP="000A565A">
      <w:pPr>
        <w:pStyle w:val="ListParagraph"/>
        <w:numPr>
          <w:ilvl w:val="0"/>
          <w:numId w:val="5"/>
        </w:numPr>
        <w:shd w:val="clear" w:color="auto" w:fill="FFFFFF" w:themeFill="background1"/>
        <w:spacing w:after="0"/>
        <w:ind w:left="284" w:hanging="284"/>
        <w:jc w:val="both"/>
        <w:rPr>
          <w:rFonts w:ascii="Book Antiqua" w:hAnsi="Book Antiqua" w:cs="Times New Roman"/>
        </w:rPr>
      </w:pPr>
      <w:r w:rsidRPr="00773878">
        <w:rPr>
          <w:rFonts w:ascii="Book Antiqua" w:hAnsi="Book Antiqua" w:cs="Times New Roman"/>
        </w:rPr>
        <w:t>Kompetensi dari anggota dewan dalam menilai seorang hakim agung.</w:t>
      </w:r>
    </w:p>
    <w:p w14:paraId="5DEA5635" w14:textId="19C031D5" w:rsidR="00273C9B" w:rsidRPr="00773878" w:rsidRDefault="00675419" w:rsidP="000A565A">
      <w:pPr>
        <w:pStyle w:val="ListParagraph"/>
        <w:numPr>
          <w:ilvl w:val="0"/>
          <w:numId w:val="5"/>
        </w:numPr>
        <w:shd w:val="clear" w:color="auto" w:fill="FFFFFF" w:themeFill="background1"/>
        <w:spacing w:after="0"/>
        <w:ind w:left="284" w:hanging="284"/>
        <w:jc w:val="both"/>
        <w:rPr>
          <w:rFonts w:ascii="Book Antiqua" w:hAnsi="Book Antiqua" w:cs="Times New Roman"/>
        </w:rPr>
      </w:pPr>
      <w:r w:rsidRPr="00773878">
        <w:rPr>
          <w:rFonts w:ascii="Book Antiqua" w:hAnsi="Book Antiqua" w:cs="Times New Roman"/>
        </w:rPr>
        <w:t>Relasi atau kedekatan hubungan dengan anggota DPR yang ditengarai juga mempengaruhi hasil dari pemilihan.</w:t>
      </w:r>
    </w:p>
    <w:p w14:paraId="37FDB7BD" w14:textId="0F870505" w:rsidR="00273C9B" w:rsidRPr="00773878" w:rsidRDefault="00675419" w:rsidP="000A565A">
      <w:pPr>
        <w:shd w:val="clear" w:color="auto" w:fill="FFFFFF" w:themeFill="background1"/>
        <w:spacing w:after="0" w:line="276" w:lineRule="auto"/>
        <w:ind w:firstLine="567"/>
        <w:jc w:val="both"/>
        <w:rPr>
          <w:rFonts w:ascii="Book Antiqua" w:hAnsi="Book Antiqua" w:cs="Times New Roman"/>
        </w:rPr>
      </w:pPr>
      <w:r w:rsidRPr="00773878">
        <w:rPr>
          <w:rFonts w:ascii="Book Antiqua" w:hAnsi="Book Antiqua" w:cs="Times New Roman"/>
        </w:rPr>
        <w:t xml:space="preserve">Membandingkan kewenangan DPR dalam proses pemilihan calon hakim agung dibandingan dengan kewenangan yang sama yang dilaksanakan di beberapa negara sebagai pembanding sesungguhnya kewenangan ini menimbulkan masalah dan kekhawatiran yang sama. Di Amerika Serikat, perubahan model </w:t>
      </w:r>
      <w:r w:rsidRPr="00F078AA">
        <w:rPr>
          <w:rFonts w:ascii="Book Antiqua" w:hAnsi="Book Antiqua" w:cs="Times New Roman"/>
        </w:rPr>
        <w:t xml:space="preserve">oppoinment ke election </w:t>
      </w:r>
      <w:r w:rsidRPr="00773878">
        <w:rPr>
          <w:rFonts w:ascii="Book Antiqua" w:hAnsi="Book Antiqua" w:cs="Times New Roman"/>
        </w:rPr>
        <w:t>yang kemudian berubah menjadi merit system, salah satunya dipicu oleh permasalahan yang sesungguhnya timbul dari kewenangan lembaga perwakilan ini</w:t>
      </w:r>
      <w:r w:rsidR="00AC3B78" w:rsidRPr="00773878">
        <w:rPr>
          <w:rFonts w:ascii="Book Antiqua" w:hAnsi="Book Antiqua" w:cs="Times New Roman"/>
        </w:rPr>
        <w:t xml:space="preserve"> (Hans Kelsen, 2010:42)</w:t>
      </w:r>
      <w:r w:rsidRPr="00773878">
        <w:rPr>
          <w:rFonts w:ascii="Book Antiqua" w:hAnsi="Book Antiqua" w:cs="Times New Roman"/>
        </w:rPr>
        <w:t>. Begitu pula di belanda, kewenangan lembaga perwakilan yang awalnya adalah menentukan calon hakim agung hasil seleksi dari mahkamah agung, kemudian dimodifikasi</w:t>
      </w:r>
      <w:r w:rsidR="00AC3B78" w:rsidRPr="00773878">
        <w:rPr>
          <w:rFonts w:ascii="Book Antiqua" w:hAnsi="Book Antiqua" w:cs="Times New Roman"/>
        </w:rPr>
        <w:t xml:space="preserve"> (Utrecht, E, 1950:81)</w:t>
      </w:r>
      <w:r w:rsidRPr="00773878">
        <w:rPr>
          <w:rFonts w:ascii="Book Antiqua" w:hAnsi="Book Antiqua" w:cs="Times New Roman"/>
        </w:rPr>
        <w:t>. Daftar yang dibuat oleh mahkamah agung diperkecil di dewan perwakilan, baru kemudian komisi pemilihanlah yang menentukan 3</w:t>
      </w:r>
      <w:r w:rsidRPr="00773878">
        <w:rPr>
          <w:rFonts w:ascii="Book Antiqua" w:hAnsi="Book Antiqua" w:cs="Times New Roman"/>
          <w:lang w:val="en-US"/>
        </w:rPr>
        <w:t xml:space="preserve"> (tiga)</w:t>
      </w:r>
      <w:r w:rsidRPr="00773878">
        <w:rPr>
          <w:rFonts w:ascii="Book Antiqua" w:hAnsi="Book Antiqua" w:cs="Times New Roman"/>
        </w:rPr>
        <w:t xml:space="preserve"> nama yang kemudian dipilih satu berdasarkan dekrit raja.</w:t>
      </w:r>
    </w:p>
    <w:p w14:paraId="373499E3" w14:textId="3CF2403F" w:rsidR="00675419" w:rsidRPr="00773878" w:rsidRDefault="00675419" w:rsidP="000A565A">
      <w:pPr>
        <w:shd w:val="clear" w:color="auto" w:fill="FFFFFF" w:themeFill="background1"/>
        <w:spacing w:after="0" w:line="276" w:lineRule="auto"/>
        <w:ind w:firstLine="567"/>
        <w:jc w:val="both"/>
        <w:rPr>
          <w:rFonts w:ascii="Book Antiqua" w:hAnsi="Book Antiqua" w:cs="Times New Roman"/>
        </w:rPr>
      </w:pPr>
      <w:r w:rsidRPr="00773878">
        <w:rPr>
          <w:rFonts w:ascii="Book Antiqua" w:hAnsi="Book Antiqua" w:cs="Times New Roman"/>
        </w:rPr>
        <w:t>Kondisi ini agaknya harus diperhitungkan oleh DPR dalam melakukan interprestasi ketentuan UU No</w:t>
      </w:r>
      <w:r w:rsidR="00AC3B78" w:rsidRPr="00773878">
        <w:rPr>
          <w:rFonts w:ascii="Book Antiqua" w:hAnsi="Book Antiqua" w:cs="Times New Roman"/>
        </w:rPr>
        <w:t>mor</w:t>
      </w:r>
      <w:r w:rsidRPr="00773878">
        <w:rPr>
          <w:rFonts w:ascii="Book Antiqua" w:hAnsi="Book Antiqua" w:cs="Times New Roman"/>
        </w:rPr>
        <w:t xml:space="preserve"> 22 tahun 2004 karena justru menimbulkan hal yang tidak menguntungkan bagi hasil dari pemilihan hakim agung yaitu hakim agung yang berkualitas. Perlunya menganalisa apakah mekanisme yang dilaksanakan oleh DPR sudah sesuai dengan tujuan dari ketentuan undang-undang tersebut. Dan sejauh mana sebenarnya kewenangan yang dapat dilakukan DPR dalam menentukan hasil pemilihan. serta apakah </w:t>
      </w:r>
      <w:r w:rsidRPr="00773878">
        <w:rPr>
          <w:rFonts w:ascii="Book Antiqua" w:hAnsi="Book Antiqua" w:cs="Times New Roman"/>
        </w:rPr>
        <w:lastRenderedPageBreak/>
        <w:t xml:space="preserve">hasil dari </w:t>
      </w:r>
      <w:r w:rsidRPr="00F078AA">
        <w:rPr>
          <w:rFonts w:ascii="Book Antiqua" w:hAnsi="Book Antiqua" w:cs="Times New Roman"/>
        </w:rPr>
        <w:t>fit and proper test</w:t>
      </w:r>
      <w:r w:rsidRPr="00773878">
        <w:rPr>
          <w:rFonts w:ascii="Book Antiqua" w:hAnsi="Book Antiqua" w:cs="Times New Roman"/>
        </w:rPr>
        <w:t xml:space="preserve"> yang dilakukan DPR dapat menjadikan jaminan akan adanya hasil yang baik dibandingkan dengan mekanisme yang dilaksanakan oleh komisi yudisial.</w:t>
      </w:r>
    </w:p>
    <w:p w14:paraId="689F6994" w14:textId="77777777" w:rsidR="00296B38" w:rsidRDefault="00296B38" w:rsidP="000A565A">
      <w:pPr>
        <w:spacing w:after="0" w:line="276" w:lineRule="auto"/>
        <w:ind w:firstLine="567"/>
        <w:jc w:val="both"/>
        <w:rPr>
          <w:rFonts w:ascii="Book Antiqua" w:hAnsi="Book Antiqua"/>
        </w:rPr>
      </w:pPr>
    </w:p>
    <w:p w14:paraId="0D1F3288" w14:textId="40351AD0" w:rsidR="00675419" w:rsidRDefault="000A565A" w:rsidP="000A565A">
      <w:pPr>
        <w:pStyle w:val="NormalWeb"/>
        <w:spacing w:before="0" w:beforeAutospacing="0" w:after="0" w:afterAutospacing="0"/>
        <w:jc w:val="both"/>
        <w:rPr>
          <w:rFonts w:ascii="Book Antiqua" w:hAnsi="Book Antiqua"/>
          <w:b/>
          <w:bCs/>
          <w:color w:val="000000"/>
        </w:rPr>
      </w:pPr>
      <w:r>
        <w:rPr>
          <w:rFonts w:ascii="Book Antiqua" w:hAnsi="Book Antiqua"/>
          <w:b/>
          <w:bCs/>
          <w:color w:val="000000"/>
        </w:rPr>
        <w:t xml:space="preserve">KESIMPULAN </w:t>
      </w:r>
    </w:p>
    <w:p w14:paraId="65618987" w14:textId="76EA44A7" w:rsidR="00675419" w:rsidRPr="00773878" w:rsidRDefault="00675419" w:rsidP="000A565A">
      <w:pPr>
        <w:pStyle w:val="NormalWeb"/>
        <w:shd w:val="clear" w:color="auto" w:fill="FFFFFF" w:themeFill="background1"/>
        <w:spacing w:before="0" w:beforeAutospacing="0" w:after="0" w:afterAutospacing="0" w:line="276" w:lineRule="auto"/>
        <w:ind w:firstLine="567"/>
        <w:jc w:val="both"/>
        <w:rPr>
          <w:rFonts w:ascii="Book Antiqua" w:hAnsi="Book Antiqua"/>
          <w:sz w:val="22"/>
          <w:szCs w:val="22"/>
          <w:u w:val="single"/>
        </w:rPr>
      </w:pPr>
      <w:r w:rsidRPr="00773878">
        <w:rPr>
          <w:rFonts w:ascii="Book Antiqua" w:hAnsi="Book Antiqua"/>
          <w:sz w:val="22"/>
          <w:szCs w:val="22"/>
        </w:rPr>
        <w:t xml:space="preserve">Proses perekrutan hakim agung sebagaimana yang dinyatakan dalam </w:t>
      </w:r>
      <w:r w:rsidRPr="00773878">
        <w:rPr>
          <w:rFonts w:ascii="Book Antiqua" w:hAnsi="Book Antiqua"/>
          <w:sz w:val="22"/>
          <w:szCs w:val="22"/>
          <w:lang w:val="en-US"/>
        </w:rPr>
        <w:t>P</w:t>
      </w:r>
      <w:r w:rsidRPr="00773878">
        <w:rPr>
          <w:rFonts w:ascii="Book Antiqua" w:hAnsi="Book Antiqua"/>
          <w:sz w:val="22"/>
          <w:szCs w:val="22"/>
        </w:rPr>
        <w:t xml:space="preserve">asal 24A </w:t>
      </w:r>
      <w:r w:rsidRPr="00773878">
        <w:rPr>
          <w:rFonts w:ascii="Book Antiqua" w:hAnsi="Book Antiqua"/>
          <w:sz w:val="22"/>
          <w:szCs w:val="22"/>
          <w:lang w:val="en-US"/>
        </w:rPr>
        <w:t>A</w:t>
      </w:r>
      <w:r w:rsidRPr="00773878">
        <w:rPr>
          <w:rFonts w:ascii="Book Antiqua" w:hAnsi="Book Antiqua"/>
          <w:sz w:val="22"/>
          <w:szCs w:val="22"/>
        </w:rPr>
        <w:t xml:space="preserve">yat (3) UUD RI 1945 melibatkan </w:t>
      </w:r>
      <w:r w:rsidRPr="00773878">
        <w:rPr>
          <w:rFonts w:ascii="Book Antiqua" w:hAnsi="Book Antiqua"/>
          <w:sz w:val="22"/>
          <w:szCs w:val="22"/>
          <w:lang w:val="en-US"/>
        </w:rPr>
        <w:t>3 (</w:t>
      </w:r>
      <w:r w:rsidRPr="00773878">
        <w:rPr>
          <w:rFonts w:ascii="Book Antiqua" w:hAnsi="Book Antiqua"/>
          <w:sz w:val="22"/>
          <w:szCs w:val="22"/>
        </w:rPr>
        <w:t>tiga</w:t>
      </w:r>
      <w:r w:rsidRPr="00773878">
        <w:rPr>
          <w:rFonts w:ascii="Book Antiqua" w:hAnsi="Book Antiqua"/>
          <w:sz w:val="22"/>
          <w:szCs w:val="22"/>
          <w:lang w:val="en-US"/>
        </w:rPr>
        <w:t>)</w:t>
      </w:r>
      <w:r w:rsidRPr="00773878">
        <w:rPr>
          <w:rFonts w:ascii="Book Antiqua" w:hAnsi="Book Antiqua"/>
          <w:sz w:val="22"/>
          <w:szCs w:val="22"/>
        </w:rPr>
        <w:t xml:space="preserve"> lembaga, Komisi Yudisial, Dewan Perwakilan Rakyat RI dan Presiden. Pada pasal tersebut persetujuan yang dilakukan oleh DPR tidak disebut secara tegas sebagai makna memilih, akan tetapi kewenangan DPR dalam melakukan proses perekrutan hakim agung substansinya tercantum pada Pasal 18 </w:t>
      </w:r>
      <w:r w:rsidRPr="00773878">
        <w:rPr>
          <w:rFonts w:ascii="Book Antiqua" w:hAnsi="Book Antiqua"/>
          <w:sz w:val="22"/>
          <w:szCs w:val="22"/>
          <w:lang w:val="en-US"/>
        </w:rPr>
        <w:t>A</w:t>
      </w:r>
      <w:r w:rsidRPr="00773878">
        <w:rPr>
          <w:rFonts w:ascii="Book Antiqua" w:hAnsi="Book Antiqua"/>
          <w:sz w:val="22"/>
          <w:szCs w:val="22"/>
        </w:rPr>
        <w:t xml:space="preserve">yat (4) Undang-Undang Nomor 18 Tahun 2011 tentang Komisi Yudisial dan Pasal 8 </w:t>
      </w:r>
      <w:r w:rsidRPr="00773878">
        <w:rPr>
          <w:rFonts w:ascii="Book Antiqua" w:hAnsi="Book Antiqua"/>
          <w:sz w:val="22"/>
          <w:szCs w:val="22"/>
          <w:lang w:val="en-US"/>
        </w:rPr>
        <w:t>A</w:t>
      </w:r>
      <w:r w:rsidRPr="00773878">
        <w:rPr>
          <w:rFonts w:ascii="Book Antiqua" w:hAnsi="Book Antiqua"/>
          <w:sz w:val="22"/>
          <w:szCs w:val="22"/>
        </w:rPr>
        <w:t xml:space="preserve">yat (2) (3) (4) Undang-Undang Nomor 3 Tahun 2009 tentang Mahkamah Agung. Adapun mekanisme persetujuan dalam hal pengangkatan pejabat publik atau dalam hal ini perekrutan hakim agung diatur dalam Pasal 6 huruf p dan Pasal 191 </w:t>
      </w:r>
      <w:r w:rsidRPr="00773878">
        <w:rPr>
          <w:rFonts w:ascii="Book Antiqua" w:hAnsi="Book Antiqua"/>
          <w:sz w:val="22"/>
          <w:szCs w:val="22"/>
          <w:lang w:val="en-US"/>
        </w:rPr>
        <w:t>A</w:t>
      </w:r>
      <w:r w:rsidRPr="00773878">
        <w:rPr>
          <w:rFonts w:ascii="Book Antiqua" w:hAnsi="Book Antiqua"/>
          <w:sz w:val="22"/>
          <w:szCs w:val="22"/>
        </w:rPr>
        <w:t>yat (1) dan (2) pada tata tertib DPR. Dalam hal melakukan persetujuan tersebut mekanismenya secara eksplisit dijelaskan pada Bab XVII tata tertib DPR.</w:t>
      </w:r>
    </w:p>
    <w:p w14:paraId="359F41C3" w14:textId="77777777" w:rsidR="00675419" w:rsidRPr="00773878" w:rsidRDefault="00675419" w:rsidP="000A565A">
      <w:pPr>
        <w:pStyle w:val="NormalWeb"/>
        <w:shd w:val="clear" w:color="auto" w:fill="FFFFFF" w:themeFill="background1"/>
        <w:spacing w:before="0" w:beforeAutospacing="0" w:after="0" w:afterAutospacing="0" w:line="276" w:lineRule="auto"/>
        <w:ind w:firstLine="567"/>
        <w:jc w:val="both"/>
        <w:rPr>
          <w:rFonts w:ascii="Book Antiqua" w:hAnsi="Book Antiqua"/>
          <w:sz w:val="22"/>
          <w:szCs w:val="22"/>
          <w:u w:val="single"/>
        </w:rPr>
      </w:pPr>
    </w:p>
    <w:p w14:paraId="664B2836" w14:textId="718626E5" w:rsidR="00296B38" w:rsidRPr="00296B38" w:rsidRDefault="000A565A" w:rsidP="000A565A">
      <w:pPr>
        <w:spacing w:after="0" w:line="240" w:lineRule="auto"/>
        <w:contextualSpacing/>
        <w:jc w:val="both"/>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t>DAFTAR PUSTAKA</w:t>
      </w:r>
    </w:p>
    <w:p w14:paraId="0FCC254F" w14:textId="1722D18D" w:rsidR="00675419" w:rsidRPr="00675419" w:rsidRDefault="00675419" w:rsidP="000A565A">
      <w:pPr>
        <w:autoSpaceDE w:val="0"/>
        <w:autoSpaceDN w:val="0"/>
        <w:adjustRightInd w:val="0"/>
        <w:spacing w:after="0" w:line="276" w:lineRule="auto"/>
        <w:ind w:left="567" w:hanging="567"/>
        <w:jc w:val="both"/>
        <w:rPr>
          <w:rFonts w:ascii="Book Antiqua" w:hAnsi="Book Antiqua" w:cs="Times New Roman"/>
          <w:lang w:val="en-US"/>
        </w:rPr>
      </w:pPr>
      <w:r w:rsidRPr="00675419">
        <w:rPr>
          <w:rFonts w:ascii="Book Antiqua" w:hAnsi="Book Antiqua" w:cs="Times New Roman"/>
        </w:rPr>
        <w:t xml:space="preserve">A.Ahsin Thohari, </w:t>
      </w:r>
      <w:r w:rsidR="000A565A">
        <w:rPr>
          <w:rFonts w:ascii="Book Antiqua" w:hAnsi="Book Antiqua" w:cs="Times New Roman"/>
        </w:rPr>
        <w:t>(</w:t>
      </w:r>
      <w:r w:rsidRPr="00675419">
        <w:rPr>
          <w:rFonts w:ascii="Book Antiqua" w:hAnsi="Book Antiqua" w:cs="Times New Roman"/>
        </w:rPr>
        <w:t>2004</w:t>
      </w:r>
      <w:r w:rsidR="000A565A">
        <w:rPr>
          <w:rFonts w:ascii="Book Antiqua" w:hAnsi="Book Antiqua" w:cs="Times New Roman"/>
        </w:rPr>
        <w:t>)</w:t>
      </w:r>
      <w:r w:rsidRPr="00675419">
        <w:rPr>
          <w:rFonts w:ascii="Book Antiqua" w:hAnsi="Book Antiqua" w:cs="Times New Roman"/>
        </w:rPr>
        <w:t xml:space="preserve">, </w:t>
      </w:r>
      <w:r w:rsidRPr="00675419">
        <w:rPr>
          <w:rFonts w:ascii="Book Antiqua" w:hAnsi="Book Antiqua" w:cs="Times New Roman"/>
          <w:bCs/>
          <w:i/>
        </w:rPr>
        <w:t>Komisi Yudisial Dan Reformasi Peradilan</w:t>
      </w:r>
      <w:r w:rsidRPr="00675419">
        <w:rPr>
          <w:rFonts w:ascii="Book Antiqua" w:hAnsi="Book Antiqua" w:cs="Times New Roman"/>
          <w:i/>
        </w:rPr>
        <w:t>,</w:t>
      </w:r>
      <w:r w:rsidRPr="00675419">
        <w:rPr>
          <w:rFonts w:ascii="Book Antiqua" w:hAnsi="Book Antiqua" w:cs="Times New Roman"/>
        </w:rPr>
        <w:t xml:space="preserve"> ELSAM –Lembaga Studi Dan Advokasi Masyarakat, Jakarta. </w:t>
      </w:r>
    </w:p>
    <w:p w14:paraId="25BFFCC0" w14:textId="7D7F9274" w:rsidR="00675419" w:rsidRPr="00675419" w:rsidRDefault="00675419" w:rsidP="000A565A">
      <w:pPr>
        <w:spacing w:after="0" w:line="276" w:lineRule="auto"/>
        <w:ind w:left="567" w:hanging="567"/>
        <w:jc w:val="both"/>
        <w:rPr>
          <w:rFonts w:ascii="Book Antiqua" w:hAnsi="Book Antiqua" w:cs="Times New Roman"/>
          <w:lang w:val="en-US"/>
        </w:rPr>
      </w:pPr>
      <w:r w:rsidRPr="00675419">
        <w:rPr>
          <w:rFonts w:ascii="Book Antiqua" w:hAnsi="Book Antiqua" w:cs="Times New Roman"/>
        </w:rPr>
        <w:t>Bintan.</w:t>
      </w:r>
      <w:r w:rsidR="00B33289">
        <w:rPr>
          <w:rFonts w:ascii="Book Antiqua" w:hAnsi="Book Antiqua" w:cs="Times New Roman"/>
        </w:rPr>
        <w:t xml:space="preserve"> </w:t>
      </w:r>
      <w:r w:rsidRPr="00675419">
        <w:rPr>
          <w:rFonts w:ascii="Book Antiqua" w:hAnsi="Book Antiqua" w:cs="Times New Roman"/>
        </w:rPr>
        <w:t>R.</w:t>
      </w:r>
      <w:r w:rsidR="00B33289">
        <w:rPr>
          <w:rFonts w:ascii="Book Antiqua" w:hAnsi="Book Antiqua" w:cs="Times New Roman"/>
        </w:rPr>
        <w:t xml:space="preserve"> </w:t>
      </w:r>
      <w:r w:rsidRPr="00675419">
        <w:rPr>
          <w:rFonts w:ascii="Book Antiqua" w:hAnsi="Book Antiqua" w:cs="Times New Roman"/>
        </w:rPr>
        <w:t>Saragih</w:t>
      </w:r>
      <w:r w:rsidRPr="00675419">
        <w:rPr>
          <w:rFonts w:ascii="Book Antiqua" w:hAnsi="Book Antiqua" w:cs="Times New Roman"/>
          <w:lang w:val="en-US"/>
        </w:rPr>
        <w:t xml:space="preserve">, </w:t>
      </w:r>
      <w:r w:rsidR="000A565A">
        <w:rPr>
          <w:rFonts w:ascii="Book Antiqua" w:hAnsi="Book Antiqua" w:cs="Times New Roman"/>
          <w:lang w:val="en-US"/>
        </w:rPr>
        <w:t>(</w:t>
      </w:r>
      <w:r w:rsidRPr="00675419">
        <w:rPr>
          <w:rFonts w:ascii="Book Antiqua" w:hAnsi="Book Antiqua" w:cs="Times New Roman"/>
        </w:rPr>
        <w:t>1990</w:t>
      </w:r>
      <w:r w:rsidR="000A565A">
        <w:rPr>
          <w:rFonts w:ascii="Book Antiqua" w:hAnsi="Book Antiqua" w:cs="Times New Roman"/>
        </w:rPr>
        <w:t>)</w:t>
      </w:r>
      <w:r w:rsidRPr="00675419">
        <w:rPr>
          <w:rFonts w:ascii="Book Antiqua" w:hAnsi="Book Antiqua" w:cs="Times New Roman"/>
          <w:lang w:val="en-US"/>
        </w:rPr>
        <w:t xml:space="preserve">, </w:t>
      </w:r>
      <w:r w:rsidRPr="00675419">
        <w:rPr>
          <w:rFonts w:ascii="Book Antiqua" w:hAnsi="Book Antiqua" w:cs="Times New Roman"/>
          <w:i/>
          <w:iCs/>
        </w:rPr>
        <w:t xml:space="preserve">Susunan Pembagian Kekuasaan Menurut Sistem UUD 1945. </w:t>
      </w:r>
      <w:r w:rsidRPr="00675419">
        <w:rPr>
          <w:rFonts w:ascii="Book Antiqua" w:hAnsi="Book Antiqua" w:cs="Times New Roman"/>
        </w:rPr>
        <w:t>Gramedia Pustaka Utama: Jakarta.</w:t>
      </w:r>
    </w:p>
    <w:p w14:paraId="51501C4E" w14:textId="73469942" w:rsidR="00675419" w:rsidRPr="00675419" w:rsidRDefault="00675419" w:rsidP="000A565A">
      <w:pPr>
        <w:autoSpaceDE w:val="0"/>
        <w:autoSpaceDN w:val="0"/>
        <w:adjustRightInd w:val="0"/>
        <w:spacing w:after="0" w:line="276" w:lineRule="auto"/>
        <w:ind w:left="567" w:hanging="567"/>
        <w:jc w:val="both"/>
        <w:rPr>
          <w:rFonts w:ascii="Book Antiqua" w:hAnsi="Book Antiqua" w:cs="Times New Roman"/>
        </w:rPr>
      </w:pPr>
      <w:r w:rsidRPr="00675419">
        <w:rPr>
          <w:rFonts w:ascii="Book Antiqua" w:hAnsi="Book Antiqua" w:cs="Times New Roman"/>
        </w:rPr>
        <w:t xml:space="preserve">Hans Kelsen, </w:t>
      </w:r>
      <w:r w:rsidR="000A565A">
        <w:rPr>
          <w:rFonts w:ascii="Book Antiqua" w:hAnsi="Book Antiqua" w:cs="Times New Roman"/>
        </w:rPr>
        <w:t>(</w:t>
      </w:r>
      <w:r w:rsidRPr="00675419">
        <w:rPr>
          <w:rFonts w:ascii="Book Antiqua" w:hAnsi="Book Antiqua" w:cs="Times New Roman"/>
        </w:rPr>
        <w:t>2010</w:t>
      </w:r>
      <w:r w:rsidR="000A565A">
        <w:rPr>
          <w:rFonts w:ascii="Book Antiqua" w:hAnsi="Book Antiqua" w:cs="Times New Roman"/>
        </w:rPr>
        <w:t>)</w:t>
      </w:r>
      <w:r w:rsidRPr="00675419">
        <w:rPr>
          <w:rFonts w:ascii="Book Antiqua" w:hAnsi="Book Antiqua" w:cs="Times New Roman"/>
        </w:rPr>
        <w:t xml:space="preserve">, </w:t>
      </w:r>
      <w:r w:rsidRPr="00675419">
        <w:rPr>
          <w:rFonts w:ascii="Book Antiqua" w:hAnsi="Book Antiqua" w:cs="Times New Roman"/>
          <w:bCs/>
        </w:rPr>
        <w:t>G</w:t>
      </w:r>
      <w:r w:rsidRPr="00675419">
        <w:rPr>
          <w:rFonts w:ascii="Book Antiqua" w:hAnsi="Book Antiqua" w:cs="Times New Roman"/>
          <w:bCs/>
          <w:i/>
        </w:rPr>
        <w:t xml:space="preserve">eneral Theory </w:t>
      </w:r>
      <w:proofErr w:type="gramStart"/>
      <w:r w:rsidRPr="00675419">
        <w:rPr>
          <w:rFonts w:ascii="Book Antiqua" w:hAnsi="Book Antiqua" w:cs="Times New Roman"/>
          <w:bCs/>
          <w:i/>
        </w:rPr>
        <w:t>Of</w:t>
      </w:r>
      <w:proofErr w:type="gramEnd"/>
      <w:r w:rsidRPr="00675419">
        <w:rPr>
          <w:rFonts w:ascii="Book Antiqua" w:hAnsi="Book Antiqua" w:cs="Times New Roman"/>
          <w:bCs/>
          <w:i/>
        </w:rPr>
        <w:t xml:space="preserve"> Law And State</w:t>
      </w:r>
      <w:r w:rsidRPr="00675419">
        <w:rPr>
          <w:rFonts w:ascii="Book Antiqua" w:hAnsi="Book Antiqua" w:cs="Times New Roman"/>
          <w:i/>
        </w:rPr>
        <w:t xml:space="preserve">, </w:t>
      </w:r>
      <w:r w:rsidRPr="00675419">
        <w:rPr>
          <w:rFonts w:ascii="Book Antiqua" w:hAnsi="Book Antiqua" w:cs="Times New Roman"/>
        </w:rPr>
        <w:t xml:space="preserve">Russel And Russel, New York, 1971 (Diterjemahkan Oleh Raisul Muttaqien), </w:t>
      </w:r>
      <w:r w:rsidRPr="00675419">
        <w:rPr>
          <w:rFonts w:ascii="Book Antiqua" w:hAnsi="Book Antiqua" w:cs="Times New Roman"/>
          <w:bCs/>
          <w:i/>
        </w:rPr>
        <w:t>Teori Umum Tentang Hukum Dan Negara</w:t>
      </w:r>
      <w:r w:rsidRPr="00675419">
        <w:rPr>
          <w:rFonts w:ascii="Book Antiqua" w:hAnsi="Book Antiqua" w:cs="Times New Roman"/>
        </w:rPr>
        <w:t>, Penerbit Nusa Media, Bandung.</w:t>
      </w:r>
    </w:p>
    <w:p w14:paraId="095AABEA" w14:textId="2026F0E4" w:rsidR="00675419" w:rsidRDefault="00675419" w:rsidP="000A565A">
      <w:pPr>
        <w:autoSpaceDE w:val="0"/>
        <w:autoSpaceDN w:val="0"/>
        <w:adjustRightInd w:val="0"/>
        <w:spacing w:after="0" w:line="276" w:lineRule="auto"/>
        <w:ind w:left="567" w:hanging="567"/>
        <w:jc w:val="both"/>
        <w:rPr>
          <w:rFonts w:ascii="Book Antiqua" w:hAnsi="Book Antiqua" w:cs="Times New Roman"/>
        </w:rPr>
      </w:pPr>
      <w:r w:rsidRPr="00675419">
        <w:rPr>
          <w:rFonts w:ascii="Book Antiqua" w:hAnsi="Book Antiqua" w:cs="Times New Roman"/>
        </w:rPr>
        <w:t xml:space="preserve">Idul Rishan, </w:t>
      </w:r>
      <w:r w:rsidR="000A565A">
        <w:rPr>
          <w:rFonts w:ascii="Book Antiqua" w:hAnsi="Book Antiqua" w:cs="Times New Roman"/>
        </w:rPr>
        <w:t>(</w:t>
      </w:r>
      <w:r w:rsidRPr="00675419">
        <w:rPr>
          <w:rFonts w:ascii="Book Antiqua" w:hAnsi="Book Antiqua" w:cs="Times New Roman"/>
        </w:rPr>
        <w:t>2013</w:t>
      </w:r>
      <w:r w:rsidR="000A565A">
        <w:rPr>
          <w:rFonts w:ascii="Book Antiqua" w:hAnsi="Book Antiqua" w:cs="Times New Roman"/>
        </w:rPr>
        <w:t>)</w:t>
      </w:r>
      <w:r w:rsidRPr="00675419">
        <w:rPr>
          <w:rFonts w:ascii="Book Antiqua" w:hAnsi="Book Antiqua" w:cs="Times New Roman"/>
          <w:bCs/>
        </w:rPr>
        <w:t xml:space="preserve">, </w:t>
      </w:r>
      <w:r w:rsidRPr="00675419">
        <w:rPr>
          <w:rFonts w:ascii="Book Antiqua" w:hAnsi="Book Antiqua" w:cs="Times New Roman"/>
          <w:bCs/>
          <w:i/>
        </w:rPr>
        <w:t>Komisi Yudisial</w:t>
      </w:r>
      <w:r w:rsidRPr="00675419">
        <w:rPr>
          <w:rFonts w:ascii="Book Antiqua" w:hAnsi="Book Antiqua" w:cs="Times New Roman"/>
          <w:bCs/>
          <w:i/>
          <w:lang w:val="en-US"/>
        </w:rPr>
        <w:t xml:space="preserve"> </w:t>
      </w:r>
      <w:r w:rsidRPr="00675419">
        <w:rPr>
          <w:rFonts w:ascii="Book Antiqua" w:hAnsi="Book Antiqua" w:cs="Times New Roman"/>
          <w:bCs/>
          <w:i/>
        </w:rPr>
        <w:t>Suatu Upaya Mewujudkan Wibawa Peradilan</w:t>
      </w:r>
      <w:r w:rsidRPr="00675419">
        <w:rPr>
          <w:rFonts w:ascii="Book Antiqua" w:hAnsi="Book Antiqua" w:cs="Times New Roman"/>
        </w:rPr>
        <w:t>, Genta Press, Yogyakarta.</w:t>
      </w:r>
    </w:p>
    <w:p w14:paraId="7D4ADDE3" w14:textId="4A7A23D9" w:rsidR="00B33289" w:rsidRPr="00B33289" w:rsidRDefault="00B33289" w:rsidP="000A565A">
      <w:pPr>
        <w:spacing w:after="0" w:line="276" w:lineRule="auto"/>
        <w:ind w:left="567" w:hanging="567"/>
        <w:jc w:val="both"/>
        <w:rPr>
          <w:rFonts w:ascii="Book Antiqua" w:hAnsi="Book Antiqua" w:cs="Times New Roman"/>
          <w:lang w:val="en-US"/>
        </w:rPr>
      </w:pPr>
      <w:proofErr w:type="gramStart"/>
      <w:r w:rsidRPr="00675419">
        <w:rPr>
          <w:rFonts w:ascii="Book Antiqua" w:hAnsi="Book Antiqua" w:cs="Times New Roman"/>
        </w:rPr>
        <w:t>Jimly</w:t>
      </w:r>
      <w:r>
        <w:rPr>
          <w:rFonts w:ascii="Book Antiqua" w:hAnsi="Book Antiqua" w:cs="Times New Roman"/>
          <w:lang w:val="en-US"/>
        </w:rPr>
        <w:t xml:space="preserve"> </w:t>
      </w:r>
      <w:r w:rsidRPr="00675419">
        <w:rPr>
          <w:rFonts w:ascii="Book Antiqua" w:hAnsi="Book Antiqua" w:cs="Times New Roman"/>
        </w:rPr>
        <w:t>Asshiddiqie</w:t>
      </w:r>
      <w:r>
        <w:rPr>
          <w:rFonts w:ascii="Book Antiqua" w:hAnsi="Book Antiqua" w:cs="Times New Roman"/>
        </w:rPr>
        <w:t>,</w:t>
      </w:r>
      <w:r w:rsidRPr="00675419">
        <w:rPr>
          <w:rFonts w:ascii="Book Antiqua" w:hAnsi="Book Antiqua" w:cs="Times New Roman"/>
          <w:lang w:val="en-US"/>
        </w:rPr>
        <w:t xml:space="preserve"> </w:t>
      </w:r>
      <w:r w:rsidR="000A565A">
        <w:rPr>
          <w:rFonts w:ascii="Book Antiqua" w:hAnsi="Book Antiqua" w:cs="Times New Roman"/>
          <w:lang w:val="en-US"/>
        </w:rPr>
        <w:t>(</w:t>
      </w:r>
      <w:r w:rsidRPr="00675419">
        <w:rPr>
          <w:rFonts w:ascii="Book Antiqua" w:hAnsi="Book Antiqua" w:cs="Times New Roman"/>
        </w:rPr>
        <w:t>2007</w:t>
      </w:r>
      <w:r w:rsidR="000A565A">
        <w:rPr>
          <w:rFonts w:ascii="Book Antiqua" w:hAnsi="Book Antiqua" w:cs="Times New Roman"/>
        </w:rPr>
        <w:t>).</w:t>
      </w:r>
      <w:proofErr w:type="gramEnd"/>
      <w:r w:rsidRPr="00675419">
        <w:rPr>
          <w:rFonts w:ascii="Book Antiqua" w:hAnsi="Book Antiqua" w:cs="Times New Roman"/>
          <w:lang w:val="en-US"/>
        </w:rPr>
        <w:t xml:space="preserve"> </w:t>
      </w:r>
      <w:r w:rsidRPr="00675419">
        <w:rPr>
          <w:rFonts w:ascii="Book Antiqua" w:hAnsi="Book Antiqua" w:cs="Times New Roman"/>
          <w:i/>
          <w:iCs/>
        </w:rPr>
        <w:t xml:space="preserve">Pokok-Pokok Hukum Tata Negara Indonesia Pasca Reformasi, </w:t>
      </w:r>
      <w:r w:rsidRPr="00675419">
        <w:rPr>
          <w:rFonts w:ascii="Book Antiqua" w:hAnsi="Book Antiqua" w:cs="Times New Roman"/>
        </w:rPr>
        <w:t>PT. Bhuana Ilmu Populer: Jakarta.</w:t>
      </w:r>
    </w:p>
    <w:p w14:paraId="7681DFBC" w14:textId="79FBE887" w:rsidR="00675419" w:rsidRPr="00675419" w:rsidRDefault="00675419" w:rsidP="000A565A">
      <w:pPr>
        <w:autoSpaceDE w:val="0"/>
        <w:autoSpaceDN w:val="0"/>
        <w:adjustRightInd w:val="0"/>
        <w:spacing w:after="0" w:line="276" w:lineRule="auto"/>
        <w:ind w:left="567" w:hanging="567"/>
        <w:jc w:val="both"/>
        <w:rPr>
          <w:rFonts w:ascii="Book Antiqua" w:hAnsi="Book Antiqua" w:cs="Times New Roman"/>
          <w:lang w:val="en-US"/>
        </w:rPr>
      </w:pPr>
      <w:proofErr w:type="gramStart"/>
      <w:r w:rsidRPr="00675419">
        <w:rPr>
          <w:rFonts w:ascii="Book Antiqua" w:hAnsi="Book Antiqua" w:cs="Times New Roman"/>
        </w:rPr>
        <w:t xml:space="preserve">Jimly Asshiddiq, </w:t>
      </w:r>
      <w:r w:rsidR="000A565A">
        <w:rPr>
          <w:rFonts w:ascii="Book Antiqua" w:hAnsi="Book Antiqua" w:cs="Times New Roman"/>
        </w:rPr>
        <w:t>(</w:t>
      </w:r>
      <w:r w:rsidRPr="00675419">
        <w:rPr>
          <w:rFonts w:ascii="Book Antiqua" w:hAnsi="Book Antiqua" w:cs="Times New Roman"/>
        </w:rPr>
        <w:t>2005</w:t>
      </w:r>
      <w:r w:rsidR="000A565A">
        <w:rPr>
          <w:rFonts w:ascii="Book Antiqua" w:hAnsi="Book Antiqua" w:cs="Times New Roman"/>
        </w:rPr>
        <w:t>)</w:t>
      </w:r>
      <w:r w:rsidRPr="00675419">
        <w:rPr>
          <w:rFonts w:ascii="Book Antiqua" w:hAnsi="Book Antiqua" w:cs="Times New Roman"/>
        </w:rPr>
        <w:t xml:space="preserve">, </w:t>
      </w:r>
      <w:r w:rsidRPr="00675419">
        <w:rPr>
          <w:rFonts w:ascii="Book Antiqua" w:hAnsi="Book Antiqua" w:cs="Times New Roman"/>
          <w:bCs/>
          <w:i/>
        </w:rPr>
        <w:t>Hukum Tata Negara Dan Pilar-Pilar Demokrasi</w:t>
      </w:r>
      <w:r w:rsidRPr="00675419">
        <w:rPr>
          <w:rFonts w:ascii="Book Antiqua" w:hAnsi="Book Antiqua" w:cs="Times New Roman"/>
        </w:rPr>
        <w:t>, Konstitusi Press, Jakarta.</w:t>
      </w:r>
      <w:proofErr w:type="gramEnd"/>
    </w:p>
    <w:p w14:paraId="6F71242F" w14:textId="1EE270E5" w:rsidR="00675419" w:rsidRPr="00675419" w:rsidRDefault="00675419" w:rsidP="000A565A">
      <w:pPr>
        <w:spacing w:after="0" w:line="276" w:lineRule="auto"/>
        <w:ind w:left="567" w:hanging="567"/>
        <w:jc w:val="both"/>
        <w:rPr>
          <w:rFonts w:ascii="Book Antiqua" w:hAnsi="Book Antiqua" w:cs="Times New Roman"/>
          <w:lang w:val="en-US"/>
        </w:rPr>
      </w:pPr>
      <w:r w:rsidRPr="00675419">
        <w:rPr>
          <w:rFonts w:ascii="Book Antiqua" w:hAnsi="Book Antiqua" w:cs="Times New Roman"/>
        </w:rPr>
        <w:t>Kencana Syafii. Inu</w:t>
      </w:r>
      <w:r w:rsidRPr="00675419">
        <w:rPr>
          <w:rFonts w:ascii="Book Antiqua" w:hAnsi="Book Antiqua" w:cs="Times New Roman"/>
          <w:lang w:val="en-US"/>
        </w:rPr>
        <w:t xml:space="preserve">, </w:t>
      </w:r>
      <w:r w:rsidR="000A565A">
        <w:rPr>
          <w:rFonts w:ascii="Book Antiqua" w:hAnsi="Book Antiqua" w:cs="Times New Roman"/>
          <w:lang w:val="en-US"/>
        </w:rPr>
        <w:t>(</w:t>
      </w:r>
      <w:r w:rsidRPr="00675419">
        <w:rPr>
          <w:rFonts w:ascii="Book Antiqua" w:hAnsi="Book Antiqua" w:cs="Times New Roman"/>
        </w:rPr>
        <w:t>2005</w:t>
      </w:r>
      <w:r w:rsidR="000A565A">
        <w:rPr>
          <w:rFonts w:ascii="Book Antiqua" w:hAnsi="Book Antiqua" w:cs="Times New Roman"/>
        </w:rPr>
        <w:t>)</w:t>
      </w:r>
      <w:proofErr w:type="gramStart"/>
      <w:r w:rsidRPr="00675419">
        <w:rPr>
          <w:rFonts w:ascii="Book Antiqua" w:hAnsi="Book Antiqua" w:cs="Times New Roman"/>
          <w:lang w:val="en-US"/>
        </w:rPr>
        <w:t xml:space="preserve">, </w:t>
      </w:r>
      <w:r w:rsidRPr="00675419">
        <w:rPr>
          <w:rFonts w:ascii="Book Antiqua" w:hAnsi="Book Antiqua" w:cs="Times New Roman"/>
        </w:rPr>
        <w:t xml:space="preserve"> </w:t>
      </w:r>
      <w:r w:rsidRPr="00675419">
        <w:rPr>
          <w:rFonts w:ascii="Book Antiqua" w:hAnsi="Book Antiqua" w:cs="Times New Roman"/>
          <w:i/>
          <w:iCs/>
        </w:rPr>
        <w:t>Pengantar</w:t>
      </w:r>
      <w:proofErr w:type="gramEnd"/>
      <w:r w:rsidRPr="00675419">
        <w:rPr>
          <w:rFonts w:ascii="Book Antiqua" w:hAnsi="Book Antiqua" w:cs="Times New Roman"/>
          <w:i/>
          <w:iCs/>
        </w:rPr>
        <w:t xml:space="preserve"> Ilmu Pemerintahan. </w:t>
      </w:r>
      <w:r w:rsidRPr="00675419">
        <w:rPr>
          <w:rFonts w:ascii="Book Antiqua" w:hAnsi="Book Antiqua" w:cs="Times New Roman"/>
        </w:rPr>
        <w:t>Cetakan Ketiga</w:t>
      </w:r>
      <w:r w:rsidRPr="00675419">
        <w:rPr>
          <w:rFonts w:ascii="Book Antiqua" w:hAnsi="Book Antiqua" w:cs="Times New Roman"/>
          <w:i/>
          <w:iCs/>
        </w:rPr>
        <w:t xml:space="preserve">. </w:t>
      </w:r>
      <w:r w:rsidRPr="00675419">
        <w:rPr>
          <w:rFonts w:ascii="Book Antiqua" w:hAnsi="Book Antiqua" w:cs="Times New Roman"/>
        </w:rPr>
        <w:t>Rafika Aditama: Bandung.</w:t>
      </w:r>
    </w:p>
    <w:p w14:paraId="628606B3" w14:textId="735829C3" w:rsidR="00675419" w:rsidRPr="00675419" w:rsidRDefault="00675419" w:rsidP="000A565A">
      <w:pPr>
        <w:pStyle w:val="FootnoteText"/>
        <w:spacing w:line="276" w:lineRule="auto"/>
        <w:ind w:left="567" w:hanging="567"/>
        <w:jc w:val="both"/>
        <w:rPr>
          <w:rFonts w:ascii="Book Antiqua" w:hAnsi="Book Antiqua" w:cs="Times New Roman"/>
          <w:sz w:val="22"/>
          <w:szCs w:val="22"/>
          <w:lang w:val="en-US"/>
        </w:rPr>
      </w:pPr>
      <w:r w:rsidRPr="00675419">
        <w:rPr>
          <w:rFonts w:ascii="Book Antiqua" w:hAnsi="Book Antiqua" w:cs="Times New Roman"/>
          <w:sz w:val="22"/>
          <w:szCs w:val="22"/>
        </w:rPr>
        <w:t xml:space="preserve">Moh </w:t>
      </w:r>
      <w:r w:rsidR="00B33289" w:rsidRPr="00675419">
        <w:rPr>
          <w:rFonts w:ascii="Book Antiqua" w:hAnsi="Book Antiqua" w:cs="Times New Roman"/>
          <w:sz w:val="22"/>
          <w:szCs w:val="22"/>
        </w:rPr>
        <w:t xml:space="preserve">Kusnardi </w:t>
      </w:r>
      <w:r w:rsidRPr="00675419">
        <w:rPr>
          <w:rFonts w:ascii="Book Antiqua" w:hAnsi="Book Antiqua" w:cs="Times New Roman"/>
          <w:sz w:val="22"/>
          <w:szCs w:val="22"/>
        </w:rPr>
        <w:t xml:space="preserve">dan Harmaily Ibrahim, </w:t>
      </w:r>
      <w:r w:rsidR="000A565A">
        <w:rPr>
          <w:rFonts w:ascii="Book Antiqua" w:hAnsi="Book Antiqua" w:cs="Times New Roman"/>
          <w:sz w:val="22"/>
          <w:szCs w:val="22"/>
          <w:lang w:val="en-US"/>
        </w:rPr>
        <w:t>(</w:t>
      </w:r>
      <w:r w:rsidRPr="00675419">
        <w:rPr>
          <w:rFonts w:ascii="Book Antiqua" w:hAnsi="Book Antiqua" w:cs="Times New Roman"/>
          <w:sz w:val="22"/>
          <w:szCs w:val="22"/>
        </w:rPr>
        <w:t>1983</w:t>
      </w:r>
      <w:r w:rsidR="000A565A">
        <w:rPr>
          <w:rFonts w:ascii="Book Antiqua" w:hAnsi="Book Antiqua" w:cs="Times New Roman"/>
          <w:sz w:val="22"/>
          <w:szCs w:val="22"/>
          <w:lang w:val="en-US"/>
        </w:rPr>
        <w:t>)</w:t>
      </w:r>
      <w:r w:rsidRPr="00675419">
        <w:rPr>
          <w:rFonts w:ascii="Book Antiqua" w:hAnsi="Book Antiqua" w:cs="Times New Roman"/>
          <w:sz w:val="22"/>
          <w:szCs w:val="22"/>
        </w:rPr>
        <w:t xml:space="preserve">, </w:t>
      </w:r>
      <w:r w:rsidRPr="00675419">
        <w:rPr>
          <w:rFonts w:ascii="Book Antiqua" w:hAnsi="Book Antiqua" w:cs="Times New Roman"/>
          <w:i/>
          <w:sz w:val="22"/>
          <w:szCs w:val="22"/>
        </w:rPr>
        <w:t>Pengantar Hukum Tata Negara Indonesia</w:t>
      </w:r>
      <w:r w:rsidRPr="00675419">
        <w:rPr>
          <w:rFonts w:ascii="Book Antiqua" w:hAnsi="Book Antiqua" w:cs="Times New Roman"/>
          <w:sz w:val="22"/>
          <w:szCs w:val="22"/>
        </w:rPr>
        <w:t>, Pusat Studi Hukum Tata Negara, Fakultas Hukum Universitas Indonesia, Jakarta.</w:t>
      </w:r>
    </w:p>
    <w:p w14:paraId="4ABBE2F5" w14:textId="7B585DBD" w:rsidR="00675419" w:rsidRPr="00675419" w:rsidRDefault="00675419" w:rsidP="000A565A">
      <w:pPr>
        <w:spacing w:after="0" w:line="276" w:lineRule="auto"/>
        <w:ind w:left="567" w:hanging="567"/>
        <w:jc w:val="both"/>
        <w:rPr>
          <w:rFonts w:ascii="Book Antiqua" w:hAnsi="Book Antiqua" w:cs="Times New Roman"/>
          <w:lang w:val="en-US"/>
        </w:rPr>
      </w:pPr>
      <w:proofErr w:type="gramStart"/>
      <w:r w:rsidRPr="00675419">
        <w:rPr>
          <w:rFonts w:ascii="Book Antiqua" w:hAnsi="Book Antiqua" w:cs="Times New Roman"/>
        </w:rPr>
        <w:t>Mahmuzar</w:t>
      </w:r>
      <w:r w:rsidRPr="00675419">
        <w:rPr>
          <w:rFonts w:ascii="Book Antiqua" w:hAnsi="Book Antiqua" w:cs="Times New Roman"/>
          <w:lang w:val="en-US"/>
        </w:rPr>
        <w:t xml:space="preserve">, </w:t>
      </w:r>
      <w:r w:rsidR="000A565A">
        <w:rPr>
          <w:rFonts w:ascii="Book Antiqua" w:hAnsi="Book Antiqua" w:cs="Times New Roman"/>
          <w:lang w:val="en-US"/>
        </w:rPr>
        <w:t>(</w:t>
      </w:r>
      <w:r w:rsidRPr="00675419">
        <w:rPr>
          <w:rFonts w:ascii="Book Antiqua" w:hAnsi="Book Antiqua" w:cs="Times New Roman"/>
        </w:rPr>
        <w:t>2010</w:t>
      </w:r>
      <w:r w:rsidR="000A565A">
        <w:rPr>
          <w:rFonts w:ascii="Book Antiqua" w:hAnsi="Book Antiqua" w:cs="Times New Roman"/>
        </w:rPr>
        <w:t>)</w:t>
      </w:r>
      <w:r w:rsidRPr="00675419">
        <w:rPr>
          <w:rFonts w:ascii="Book Antiqua" w:hAnsi="Book Antiqua" w:cs="Times New Roman"/>
          <w:lang w:val="en-US"/>
        </w:rPr>
        <w:t xml:space="preserve">, </w:t>
      </w:r>
      <w:r w:rsidRPr="00675419">
        <w:rPr>
          <w:rFonts w:ascii="Book Antiqua" w:hAnsi="Book Antiqua" w:cs="Times New Roman"/>
          <w:i/>
          <w:iCs/>
        </w:rPr>
        <w:t>Sistem Pemerintahan Indonesia Menurut UUD 1945 Sebelum dan Sesudah Amandemen.</w:t>
      </w:r>
      <w:proofErr w:type="gramEnd"/>
      <w:r w:rsidRPr="00675419">
        <w:rPr>
          <w:rFonts w:ascii="Book Antiqua" w:hAnsi="Book Antiqua" w:cs="Times New Roman"/>
          <w:i/>
          <w:iCs/>
        </w:rPr>
        <w:t xml:space="preserve"> </w:t>
      </w:r>
      <w:r w:rsidRPr="00675419">
        <w:rPr>
          <w:rFonts w:ascii="Book Antiqua" w:hAnsi="Book Antiqua" w:cs="Times New Roman"/>
        </w:rPr>
        <w:t>Nusa Media: Bandung.</w:t>
      </w:r>
    </w:p>
    <w:p w14:paraId="24FEBA5B" w14:textId="1460D3B5" w:rsidR="00675419" w:rsidRPr="00675419" w:rsidRDefault="00675419" w:rsidP="000A565A">
      <w:pPr>
        <w:autoSpaceDE w:val="0"/>
        <w:autoSpaceDN w:val="0"/>
        <w:adjustRightInd w:val="0"/>
        <w:spacing w:after="0" w:line="276" w:lineRule="auto"/>
        <w:ind w:left="567" w:hanging="567"/>
        <w:jc w:val="both"/>
        <w:rPr>
          <w:rFonts w:ascii="Book Antiqua" w:hAnsi="Book Antiqua" w:cs="Times New Roman"/>
        </w:rPr>
      </w:pPr>
      <w:r w:rsidRPr="00675419">
        <w:rPr>
          <w:rFonts w:ascii="Book Antiqua" w:hAnsi="Book Antiqua" w:cs="Times New Roman"/>
        </w:rPr>
        <w:t xml:space="preserve">Mexsasai Indra, </w:t>
      </w:r>
      <w:r w:rsidR="000A565A">
        <w:rPr>
          <w:rFonts w:ascii="Book Antiqua" w:hAnsi="Book Antiqua" w:cs="Times New Roman"/>
        </w:rPr>
        <w:t>(</w:t>
      </w:r>
      <w:r w:rsidRPr="00675419">
        <w:rPr>
          <w:rFonts w:ascii="Book Antiqua" w:hAnsi="Book Antiqua" w:cs="Times New Roman"/>
        </w:rPr>
        <w:t>2011</w:t>
      </w:r>
      <w:r w:rsidR="000A565A">
        <w:rPr>
          <w:rFonts w:ascii="Book Antiqua" w:hAnsi="Book Antiqua" w:cs="Times New Roman"/>
        </w:rPr>
        <w:t>)</w:t>
      </w:r>
      <w:r w:rsidRPr="00675419">
        <w:rPr>
          <w:rFonts w:ascii="Book Antiqua" w:hAnsi="Book Antiqua" w:cs="Times New Roman"/>
        </w:rPr>
        <w:t xml:space="preserve">, </w:t>
      </w:r>
      <w:r w:rsidRPr="00675419">
        <w:rPr>
          <w:rFonts w:ascii="Book Antiqua" w:hAnsi="Book Antiqua" w:cs="Times New Roman"/>
          <w:bCs/>
          <w:i/>
        </w:rPr>
        <w:t>Dinamika Hukum Tata Negara Indonesia</w:t>
      </w:r>
      <w:r w:rsidRPr="00675419">
        <w:rPr>
          <w:rFonts w:ascii="Book Antiqua" w:hAnsi="Book Antiqua" w:cs="Times New Roman"/>
        </w:rPr>
        <w:t>, PT. Refika Adiatma</w:t>
      </w:r>
      <w:proofErr w:type="gramStart"/>
      <w:r w:rsidRPr="00675419">
        <w:rPr>
          <w:rFonts w:ascii="Book Antiqua" w:hAnsi="Book Antiqua" w:cs="Times New Roman"/>
        </w:rPr>
        <w:t>,  Bandung</w:t>
      </w:r>
      <w:proofErr w:type="gramEnd"/>
      <w:r w:rsidRPr="00675419">
        <w:rPr>
          <w:rFonts w:ascii="Book Antiqua" w:hAnsi="Book Antiqua" w:cs="Times New Roman"/>
        </w:rPr>
        <w:t>.</w:t>
      </w:r>
    </w:p>
    <w:p w14:paraId="5B3FF75E" w14:textId="4E5DB08F" w:rsidR="00675419" w:rsidRPr="00675419" w:rsidRDefault="00675419" w:rsidP="000A565A">
      <w:pPr>
        <w:autoSpaceDE w:val="0"/>
        <w:autoSpaceDN w:val="0"/>
        <w:adjustRightInd w:val="0"/>
        <w:spacing w:after="0" w:line="276" w:lineRule="auto"/>
        <w:ind w:left="567" w:hanging="567"/>
        <w:jc w:val="both"/>
        <w:rPr>
          <w:rFonts w:ascii="Book Antiqua" w:hAnsi="Book Antiqua" w:cs="Times New Roman"/>
        </w:rPr>
      </w:pPr>
      <w:r w:rsidRPr="00675419">
        <w:rPr>
          <w:rFonts w:ascii="Book Antiqua" w:hAnsi="Book Antiqua" w:cs="Times New Roman"/>
        </w:rPr>
        <w:t xml:space="preserve">Miriam Budiarjo, </w:t>
      </w:r>
      <w:r w:rsidR="000A565A">
        <w:rPr>
          <w:rFonts w:ascii="Book Antiqua" w:hAnsi="Book Antiqua" w:cs="Times New Roman"/>
        </w:rPr>
        <w:t>(</w:t>
      </w:r>
      <w:r w:rsidRPr="00675419">
        <w:rPr>
          <w:rFonts w:ascii="Book Antiqua" w:hAnsi="Book Antiqua" w:cs="Times New Roman"/>
        </w:rPr>
        <w:t>2008</w:t>
      </w:r>
      <w:r w:rsidR="000A565A">
        <w:rPr>
          <w:rFonts w:ascii="Book Antiqua" w:hAnsi="Book Antiqua" w:cs="Times New Roman"/>
        </w:rPr>
        <w:t>)</w:t>
      </w:r>
      <w:r w:rsidRPr="00675419">
        <w:rPr>
          <w:rFonts w:ascii="Book Antiqua" w:hAnsi="Book Antiqua" w:cs="Times New Roman"/>
        </w:rPr>
        <w:t xml:space="preserve">, </w:t>
      </w:r>
      <w:r w:rsidRPr="00675419">
        <w:rPr>
          <w:rFonts w:ascii="Book Antiqua" w:hAnsi="Book Antiqua" w:cs="Times New Roman"/>
          <w:bCs/>
          <w:i/>
        </w:rPr>
        <w:t>Dasar-Dasar Ilmu Politik</w:t>
      </w:r>
      <w:r w:rsidRPr="00675419">
        <w:rPr>
          <w:rFonts w:ascii="Book Antiqua" w:hAnsi="Book Antiqua" w:cs="Times New Roman"/>
          <w:i/>
        </w:rPr>
        <w:t>,</w:t>
      </w:r>
      <w:r w:rsidRPr="00675419">
        <w:rPr>
          <w:rFonts w:ascii="Book Antiqua" w:hAnsi="Book Antiqua" w:cs="Times New Roman"/>
        </w:rPr>
        <w:t xml:space="preserve"> PT. Gramedia Pustaka Utama, Jakarta.</w:t>
      </w:r>
    </w:p>
    <w:p w14:paraId="4001C7D6" w14:textId="0D9FC977" w:rsidR="00675419" w:rsidRPr="00675419" w:rsidRDefault="00675419" w:rsidP="000A565A">
      <w:pPr>
        <w:autoSpaceDE w:val="0"/>
        <w:autoSpaceDN w:val="0"/>
        <w:adjustRightInd w:val="0"/>
        <w:spacing w:after="0" w:line="276" w:lineRule="auto"/>
        <w:ind w:left="567" w:hanging="567"/>
        <w:jc w:val="both"/>
        <w:rPr>
          <w:rFonts w:ascii="Book Antiqua" w:hAnsi="Book Antiqua" w:cs="Times New Roman"/>
          <w:lang w:val="en-US"/>
        </w:rPr>
      </w:pPr>
      <w:r w:rsidRPr="00675419">
        <w:rPr>
          <w:rFonts w:ascii="Book Antiqua" w:hAnsi="Book Antiqua" w:cs="Times New Roman"/>
        </w:rPr>
        <w:t xml:space="preserve">Munir Fuadi, </w:t>
      </w:r>
      <w:r w:rsidR="000A565A">
        <w:rPr>
          <w:rFonts w:ascii="Book Antiqua" w:hAnsi="Book Antiqua" w:cs="Times New Roman"/>
        </w:rPr>
        <w:t>(</w:t>
      </w:r>
      <w:r w:rsidRPr="00675419">
        <w:rPr>
          <w:rFonts w:ascii="Book Antiqua" w:hAnsi="Book Antiqua" w:cs="Times New Roman"/>
        </w:rPr>
        <w:t>2009</w:t>
      </w:r>
      <w:r w:rsidR="000A565A">
        <w:rPr>
          <w:rFonts w:ascii="Book Antiqua" w:hAnsi="Book Antiqua" w:cs="Times New Roman"/>
        </w:rPr>
        <w:t>)</w:t>
      </w:r>
      <w:r w:rsidRPr="00675419">
        <w:rPr>
          <w:rFonts w:ascii="Book Antiqua" w:hAnsi="Book Antiqua" w:cs="Times New Roman"/>
        </w:rPr>
        <w:t xml:space="preserve">, </w:t>
      </w:r>
      <w:r w:rsidRPr="00675419">
        <w:rPr>
          <w:rFonts w:ascii="Book Antiqua" w:hAnsi="Book Antiqua" w:cs="Times New Roman"/>
          <w:bCs/>
          <w:i/>
        </w:rPr>
        <w:t>Teori Negara Hukum Modern</w:t>
      </w:r>
      <w:r w:rsidRPr="00675419">
        <w:rPr>
          <w:rFonts w:ascii="Book Antiqua" w:hAnsi="Book Antiqua" w:cs="Times New Roman"/>
        </w:rPr>
        <w:t>, Refika Aditama.</w:t>
      </w:r>
    </w:p>
    <w:p w14:paraId="1F5C2BCB" w14:textId="20C74DB8" w:rsidR="00675419" w:rsidRPr="00675419" w:rsidRDefault="00E96989" w:rsidP="000A565A">
      <w:pPr>
        <w:spacing w:after="0" w:line="276" w:lineRule="auto"/>
        <w:ind w:left="567" w:hanging="567"/>
        <w:jc w:val="both"/>
        <w:rPr>
          <w:rFonts w:ascii="Book Antiqua" w:hAnsi="Book Antiqua" w:cs="Times New Roman"/>
          <w:lang w:val="en-US"/>
        </w:rPr>
      </w:pPr>
      <w:r>
        <w:rPr>
          <w:rFonts w:ascii="Book Antiqua" w:hAnsi="Book Antiqua" w:cs="Times New Roman"/>
        </w:rPr>
        <w:t xml:space="preserve">Niken </w:t>
      </w:r>
      <w:r w:rsidR="00675419" w:rsidRPr="00675419">
        <w:rPr>
          <w:rFonts w:ascii="Book Antiqua" w:hAnsi="Book Antiqua" w:cs="Times New Roman"/>
        </w:rPr>
        <w:t xml:space="preserve">Octa Silviana, </w:t>
      </w:r>
      <w:r w:rsidR="000A565A">
        <w:rPr>
          <w:rFonts w:ascii="Book Antiqua" w:hAnsi="Book Antiqua" w:cs="Times New Roman"/>
        </w:rPr>
        <w:t>(</w:t>
      </w:r>
      <w:r w:rsidR="00675419" w:rsidRPr="00675419">
        <w:rPr>
          <w:rFonts w:ascii="Book Antiqua" w:hAnsi="Book Antiqua" w:cs="Times New Roman"/>
        </w:rPr>
        <w:t>2010</w:t>
      </w:r>
      <w:r w:rsidR="000A565A">
        <w:rPr>
          <w:rFonts w:ascii="Book Antiqua" w:hAnsi="Book Antiqua" w:cs="Times New Roman"/>
        </w:rPr>
        <w:t>)</w:t>
      </w:r>
      <w:r w:rsidR="00675419" w:rsidRPr="00675419">
        <w:rPr>
          <w:rFonts w:ascii="Book Antiqua" w:hAnsi="Book Antiqua" w:cs="Times New Roman"/>
        </w:rPr>
        <w:t xml:space="preserve">, </w:t>
      </w:r>
      <w:r w:rsidR="00675419" w:rsidRPr="00675419">
        <w:rPr>
          <w:rFonts w:ascii="Book Antiqua" w:hAnsi="Book Antiqua" w:cs="Times New Roman"/>
          <w:i/>
          <w:iCs/>
        </w:rPr>
        <w:t xml:space="preserve">Teori-teori Terbentuknya Negara, </w:t>
      </w:r>
      <w:r w:rsidR="00675419" w:rsidRPr="00675419">
        <w:rPr>
          <w:rFonts w:ascii="Book Antiqua" w:hAnsi="Book Antiqua" w:cs="Times New Roman"/>
        </w:rPr>
        <w:t>Bandung.</w:t>
      </w:r>
    </w:p>
    <w:p w14:paraId="2E08D66D" w14:textId="4741F526" w:rsidR="00675419" w:rsidRDefault="00B33289" w:rsidP="000A565A">
      <w:pPr>
        <w:spacing w:after="0" w:line="276" w:lineRule="auto"/>
        <w:ind w:left="567" w:hanging="567"/>
        <w:jc w:val="both"/>
        <w:rPr>
          <w:rFonts w:ascii="Book Antiqua" w:hAnsi="Book Antiqua" w:cs="Times New Roman"/>
        </w:rPr>
      </w:pPr>
      <w:r w:rsidRPr="00675419">
        <w:rPr>
          <w:rFonts w:ascii="Book Antiqua" w:hAnsi="Book Antiqua" w:cs="Times New Roman"/>
        </w:rPr>
        <w:t xml:space="preserve">Satjipto </w:t>
      </w:r>
      <w:r w:rsidR="00675419" w:rsidRPr="00675419">
        <w:rPr>
          <w:rFonts w:ascii="Book Antiqua" w:hAnsi="Book Antiqua" w:cs="Times New Roman"/>
        </w:rPr>
        <w:t>Rahardjo</w:t>
      </w:r>
      <w:proofErr w:type="gramStart"/>
      <w:r w:rsidR="00675419" w:rsidRPr="00675419">
        <w:rPr>
          <w:rFonts w:ascii="Book Antiqua" w:hAnsi="Book Antiqua" w:cs="Times New Roman"/>
        </w:rPr>
        <w:t xml:space="preserve">,  </w:t>
      </w:r>
      <w:r w:rsidR="000A565A">
        <w:rPr>
          <w:rFonts w:ascii="Book Antiqua" w:hAnsi="Book Antiqua" w:cs="Times New Roman"/>
        </w:rPr>
        <w:t>(</w:t>
      </w:r>
      <w:proofErr w:type="gramEnd"/>
      <w:r w:rsidR="00675419" w:rsidRPr="00675419">
        <w:rPr>
          <w:rFonts w:ascii="Book Antiqua" w:hAnsi="Book Antiqua" w:cs="Times New Roman"/>
        </w:rPr>
        <w:t>2009</w:t>
      </w:r>
      <w:r w:rsidR="000A565A">
        <w:rPr>
          <w:rFonts w:ascii="Book Antiqua" w:hAnsi="Book Antiqua" w:cs="Times New Roman"/>
        </w:rPr>
        <w:t>)</w:t>
      </w:r>
      <w:r w:rsidR="00675419" w:rsidRPr="00675419">
        <w:rPr>
          <w:rFonts w:ascii="Book Antiqua" w:hAnsi="Book Antiqua" w:cs="Times New Roman"/>
        </w:rPr>
        <w:t xml:space="preserve">, </w:t>
      </w:r>
      <w:r w:rsidR="00675419" w:rsidRPr="00675419">
        <w:rPr>
          <w:rFonts w:ascii="Book Antiqua" w:hAnsi="Book Antiqua" w:cs="Times New Roman"/>
          <w:i/>
          <w:iCs/>
        </w:rPr>
        <w:t>Hukum dan Perubahan Sosial</w:t>
      </w:r>
      <w:r w:rsidR="00675419" w:rsidRPr="00675419">
        <w:rPr>
          <w:rFonts w:ascii="Book Antiqua" w:hAnsi="Book Antiqua" w:cs="Times New Roman"/>
          <w:iCs/>
        </w:rPr>
        <w:t xml:space="preserve">, </w:t>
      </w:r>
      <w:r w:rsidR="00675419" w:rsidRPr="00675419">
        <w:rPr>
          <w:rFonts w:ascii="Book Antiqua" w:hAnsi="Book Antiqua" w:cs="Times New Roman"/>
        </w:rPr>
        <w:t>Publishing, Yogyakarta.</w:t>
      </w:r>
    </w:p>
    <w:p w14:paraId="372C1FF2" w14:textId="22A416CE" w:rsidR="00B33289" w:rsidRPr="00B33289" w:rsidRDefault="00B33289" w:rsidP="000A565A">
      <w:pPr>
        <w:autoSpaceDE w:val="0"/>
        <w:autoSpaceDN w:val="0"/>
        <w:adjustRightInd w:val="0"/>
        <w:spacing w:after="0" w:line="276" w:lineRule="auto"/>
        <w:ind w:left="567" w:hanging="567"/>
        <w:jc w:val="both"/>
        <w:rPr>
          <w:rFonts w:ascii="Book Antiqua" w:hAnsi="Book Antiqua" w:cs="Times New Roman"/>
        </w:rPr>
      </w:pPr>
      <w:r w:rsidRPr="00675419">
        <w:rPr>
          <w:rFonts w:ascii="Book Antiqua" w:hAnsi="Book Antiqua" w:cs="Times New Roman"/>
        </w:rPr>
        <w:t xml:space="preserve">Romi Librayanto, </w:t>
      </w:r>
      <w:r w:rsidR="000A565A">
        <w:rPr>
          <w:rFonts w:ascii="Book Antiqua" w:hAnsi="Book Antiqua" w:cs="Times New Roman"/>
        </w:rPr>
        <w:t>(</w:t>
      </w:r>
      <w:r w:rsidRPr="00675419">
        <w:rPr>
          <w:rFonts w:ascii="Book Antiqua" w:hAnsi="Book Antiqua" w:cs="Times New Roman"/>
        </w:rPr>
        <w:t>2009</w:t>
      </w:r>
      <w:r w:rsidR="000A565A">
        <w:rPr>
          <w:rFonts w:ascii="Book Antiqua" w:hAnsi="Book Antiqua" w:cs="Times New Roman"/>
        </w:rPr>
        <w:t>)</w:t>
      </w:r>
      <w:r w:rsidRPr="00675419">
        <w:rPr>
          <w:rFonts w:ascii="Book Antiqua" w:hAnsi="Book Antiqua" w:cs="Times New Roman"/>
        </w:rPr>
        <w:t xml:space="preserve">, </w:t>
      </w:r>
      <w:r w:rsidRPr="00675419">
        <w:rPr>
          <w:rFonts w:ascii="Book Antiqua" w:hAnsi="Book Antiqua" w:cs="Times New Roman"/>
          <w:bCs/>
          <w:i/>
        </w:rPr>
        <w:t>Ilmu Negara Suatu Pengantar</w:t>
      </w:r>
      <w:r w:rsidRPr="00675419">
        <w:rPr>
          <w:rFonts w:ascii="Book Antiqua" w:hAnsi="Book Antiqua" w:cs="Times New Roman"/>
        </w:rPr>
        <w:t>, Refleksi, Makassar.</w:t>
      </w:r>
    </w:p>
    <w:p w14:paraId="2416D89C" w14:textId="1E5F6871" w:rsidR="00675419" w:rsidRPr="00675419" w:rsidRDefault="000A565A" w:rsidP="000A565A">
      <w:pPr>
        <w:autoSpaceDE w:val="0"/>
        <w:autoSpaceDN w:val="0"/>
        <w:adjustRightInd w:val="0"/>
        <w:spacing w:after="0" w:line="276" w:lineRule="auto"/>
        <w:ind w:left="567" w:hanging="567"/>
        <w:jc w:val="both"/>
        <w:rPr>
          <w:rFonts w:ascii="Book Antiqua" w:hAnsi="Book Antiqua" w:cs="Times New Roman"/>
        </w:rPr>
      </w:pPr>
      <w:r>
        <w:rPr>
          <w:rFonts w:ascii="Book Antiqua" w:hAnsi="Book Antiqua" w:cs="Times New Roman"/>
        </w:rPr>
        <w:lastRenderedPageBreak/>
        <w:t>Romi Librayanto, (</w:t>
      </w:r>
      <w:r w:rsidR="00675419" w:rsidRPr="00675419">
        <w:rPr>
          <w:rFonts w:ascii="Book Antiqua" w:hAnsi="Book Antiqua" w:cs="Times New Roman"/>
        </w:rPr>
        <w:t>2008</w:t>
      </w:r>
      <w:r>
        <w:rPr>
          <w:rFonts w:ascii="Book Antiqua" w:hAnsi="Book Antiqua" w:cs="Times New Roman"/>
        </w:rPr>
        <w:t>)</w:t>
      </w:r>
      <w:r w:rsidR="00675419" w:rsidRPr="00675419">
        <w:rPr>
          <w:rFonts w:ascii="Book Antiqua" w:hAnsi="Book Antiqua" w:cs="Times New Roman"/>
        </w:rPr>
        <w:t xml:space="preserve">, </w:t>
      </w:r>
      <w:r w:rsidR="00675419" w:rsidRPr="00675419">
        <w:rPr>
          <w:rFonts w:ascii="Book Antiqua" w:hAnsi="Book Antiqua" w:cs="Times New Roman"/>
          <w:bCs/>
          <w:i/>
        </w:rPr>
        <w:t>Trias Politika Dalam Struktur Ketatanegaraan Indonesia</w:t>
      </w:r>
      <w:r w:rsidR="00675419" w:rsidRPr="00675419">
        <w:rPr>
          <w:rFonts w:ascii="Book Antiqua" w:hAnsi="Book Antiqua" w:cs="Times New Roman"/>
        </w:rPr>
        <w:t xml:space="preserve">, </w:t>
      </w:r>
      <w:proofErr w:type="gramStart"/>
      <w:r w:rsidR="00675419" w:rsidRPr="00675419">
        <w:rPr>
          <w:rFonts w:ascii="Book Antiqua" w:hAnsi="Book Antiqua" w:cs="Times New Roman"/>
        </w:rPr>
        <w:t>Pukap  Indonesia</w:t>
      </w:r>
      <w:proofErr w:type="gramEnd"/>
      <w:r w:rsidR="00675419" w:rsidRPr="00675419">
        <w:rPr>
          <w:rFonts w:ascii="Book Antiqua" w:hAnsi="Book Antiqua" w:cs="Times New Roman"/>
        </w:rPr>
        <w:t>.</w:t>
      </w:r>
    </w:p>
    <w:p w14:paraId="2F39AC35" w14:textId="468B1C83" w:rsidR="00675419" w:rsidRPr="00675419" w:rsidRDefault="00675419" w:rsidP="000A565A">
      <w:pPr>
        <w:autoSpaceDE w:val="0"/>
        <w:autoSpaceDN w:val="0"/>
        <w:adjustRightInd w:val="0"/>
        <w:spacing w:after="0" w:line="276" w:lineRule="auto"/>
        <w:ind w:left="567" w:hanging="567"/>
        <w:jc w:val="both"/>
        <w:rPr>
          <w:rFonts w:ascii="Book Antiqua" w:hAnsi="Book Antiqua" w:cs="Times New Roman"/>
          <w:lang w:val="en-US"/>
        </w:rPr>
      </w:pPr>
      <w:proofErr w:type="gramStart"/>
      <w:r w:rsidRPr="00675419">
        <w:rPr>
          <w:rFonts w:ascii="Book Antiqua" w:hAnsi="Book Antiqua" w:cs="Times New Roman"/>
        </w:rPr>
        <w:t xml:space="preserve">Sadjijono, </w:t>
      </w:r>
      <w:r w:rsidR="000A565A">
        <w:rPr>
          <w:rFonts w:ascii="Book Antiqua" w:hAnsi="Book Antiqua" w:cs="Times New Roman"/>
        </w:rPr>
        <w:t>(</w:t>
      </w:r>
      <w:r w:rsidRPr="00675419">
        <w:rPr>
          <w:rFonts w:ascii="Book Antiqua" w:hAnsi="Book Antiqua" w:cs="Times New Roman"/>
        </w:rPr>
        <w:t>2008</w:t>
      </w:r>
      <w:r w:rsidR="000A565A">
        <w:rPr>
          <w:rFonts w:ascii="Book Antiqua" w:hAnsi="Book Antiqua" w:cs="Times New Roman"/>
        </w:rPr>
        <w:t>)</w:t>
      </w:r>
      <w:r w:rsidRPr="00675419">
        <w:rPr>
          <w:rFonts w:ascii="Book Antiqua" w:hAnsi="Book Antiqua" w:cs="Times New Roman"/>
          <w:bCs/>
        </w:rPr>
        <w:t xml:space="preserve">, </w:t>
      </w:r>
      <w:r w:rsidRPr="00675419">
        <w:rPr>
          <w:rFonts w:ascii="Book Antiqua" w:hAnsi="Book Antiqua" w:cs="Times New Roman"/>
          <w:bCs/>
          <w:i/>
        </w:rPr>
        <w:t>Memahami Beberapa Bab Pokok Hukum Administrasi</w:t>
      </w:r>
      <w:r w:rsidRPr="00675419">
        <w:rPr>
          <w:rFonts w:ascii="Book Antiqua" w:hAnsi="Book Antiqua" w:cs="Times New Roman"/>
        </w:rPr>
        <w:t>, Lakbang Pressindo, Yogyakarta.</w:t>
      </w:r>
      <w:proofErr w:type="gramEnd"/>
    </w:p>
    <w:p w14:paraId="5290466B" w14:textId="45ABDAA1" w:rsidR="00675419" w:rsidRPr="00675419" w:rsidRDefault="00B33289" w:rsidP="000A565A">
      <w:pPr>
        <w:spacing w:after="0" w:line="276" w:lineRule="auto"/>
        <w:ind w:left="567" w:hanging="567"/>
        <w:jc w:val="both"/>
        <w:rPr>
          <w:rFonts w:ascii="Book Antiqua" w:hAnsi="Book Antiqua" w:cs="Times New Roman"/>
          <w:lang w:val="en-US"/>
        </w:rPr>
      </w:pPr>
      <w:r w:rsidRPr="00675419">
        <w:rPr>
          <w:rFonts w:ascii="Book Antiqua" w:hAnsi="Book Antiqua" w:cs="Times New Roman"/>
        </w:rPr>
        <w:t xml:space="preserve">Soerjono </w:t>
      </w:r>
      <w:r w:rsidR="00675419" w:rsidRPr="00675419">
        <w:rPr>
          <w:rFonts w:ascii="Book Antiqua" w:hAnsi="Book Antiqua" w:cs="Times New Roman"/>
        </w:rPr>
        <w:t>Soekanto</w:t>
      </w:r>
      <w:r>
        <w:rPr>
          <w:rFonts w:ascii="Book Antiqua" w:hAnsi="Book Antiqua" w:cs="Times New Roman"/>
        </w:rPr>
        <w:t xml:space="preserve"> </w:t>
      </w:r>
      <w:r w:rsidR="00675419" w:rsidRPr="00675419">
        <w:rPr>
          <w:rFonts w:ascii="Book Antiqua" w:hAnsi="Book Antiqua" w:cs="Times New Roman"/>
        </w:rPr>
        <w:t xml:space="preserve">dan </w:t>
      </w:r>
      <w:r w:rsidR="00E96989">
        <w:rPr>
          <w:rFonts w:ascii="Book Antiqua" w:hAnsi="Book Antiqua" w:cs="Times New Roman"/>
        </w:rPr>
        <w:t xml:space="preserve">Sri </w:t>
      </w:r>
      <w:r w:rsidR="00675419" w:rsidRPr="00675419">
        <w:rPr>
          <w:rFonts w:ascii="Book Antiqua" w:hAnsi="Book Antiqua" w:cs="Times New Roman"/>
        </w:rPr>
        <w:t xml:space="preserve">Mahmudji, </w:t>
      </w:r>
      <w:r w:rsidR="000A565A">
        <w:rPr>
          <w:rFonts w:ascii="Book Antiqua" w:hAnsi="Book Antiqua" w:cs="Times New Roman"/>
        </w:rPr>
        <w:t>(</w:t>
      </w:r>
      <w:r w:rsidR="00675419" w:rsidRPr="00675419">
        <w:rPr>
          <w:rFonts w:ascii="Book Antiqua" w:hAnsi="Book Antiqua" w:cs="Times New Roman"/>
        </w:rPr>
        <w:t>2001</w:t>
      </w:r>
      <w:r w:rsidR="000A565A">
        <w:rPr>
          <w:rFonts w:ascii="Book Antiqua" w:hAnsi="Book Antiqua" w:cs="Times New Roman"/>
        </w:rPr>
        <w:t>)</w:t>
      </w:r>
      <w:proofErr w:type="gramStart"/>
      <w:r w:rsidR="00675419" w:rsidRPr="00675419">
        <w:rPr>
          <w:rFonts w:ascii="Book Antiqua" w:hAnsi="Book Antiqua" w:cs="Times New Roman"/>
        </w:rPr>
        <w:t xml:space="preserve">,  </w:t>
      </w:r>
      <w:r w:rsidR="00675419" w:rsidRPr="00675419">
        <w:rPr>
          <w:rFonts w:ascii="Book Antiqua" w:hAnsi="Book Antiqua" w:cs="Times New Roman"/>
          <w:i/>
        </w:rPr>
        <w:t>Penelitian</w:t>
      </w:r>
      <w:proofErr w:type="gramEnd"/>
      <w:r w:rsidR="00675419" w:rsidRPr="00675419">
        <w:rPr>
          <w:rFonts w:ascii="Book Antiqua" w:hAnsi="Book Antiqua" w:cs="Times New Roman"/>
          <w:i/>
        </w:rPr>
        <w:t xml:space="preserve"> Hukum Normatif Suatu Tinjauan Singkat</w:t>
      </w:r>
      <w:r w:rsidR="00675419" w:rsidRPr="00675419">
        <w:rPr>
          <w:rFonts w:ascii="Book Antiqua" w:hAnsi="Book Antiqua" w:cs="Times New Roman"/>
        </w:rPr>
        <w:t>, PT Rajagrafindo Persada, Jakarta</w:t>
      </w:r>
    </w:p>
    <w:p w14:paraId="03EA568F" w14:textId="0B23EE40" w:rsidR="00675419" w:rsidRPr="00675419" w:rsidRDefault="00675419" w:rsidP="000A565A">
      <w:pPr>
        <w:autoSpaceDE w:val="0"/>
        <w:autoSpaceDN w:val="0"/>
        <w:adjustRightInd w:val="0"/>
        <w:spacing w:after="0" w:line="276" w:lineRule="auto"/>
        <w:ind w:left="567" w:hanging="567"/>
        <w:jc w:val="both"/>
        <w:rPr>
          <w:rFonts w:ascii="Book Antiqua" w:hAnsi="Book Antiqua" w:cs="Times New Roman"/>
          <w:lang w:val="en-US"/>
        </w:rPr>
      </w:pPr>
      <w:r w:rsidRPr="00675419">
        <w:rPr>
          <w:rFonts w:ascii="Book Antiqua" w:hAnsi="Book Antiqua" w:cs="Times New Roman"/>
        </w:rPr>
        <w:t xml:space="preserve">Titik Triwulan Tutik, </w:t>
      </w:r>
      <w:r w:rsidR="0084487E">
        <w:rPr>
          <w:rFonts w:ascii="Book Antiqua" w:hAnsi="Book Antiqua" w:cs="Times New Roman"/>
        </w:rPr>
        <w:t>(</w:t>
      </w:r>
      <w:r w:rsidRPr="00675419">
        <w:rPr>
          <w:rFonts w:ascii="Book Antiqua" w:hAnsi="Book Antiqua" w:cs="Times New Roman"/>
        </w:rPr>
        <w:t>2008</w:t>
      </w:r>
      <w:r w:rsidR="000A565A">
        <w:rPr>
          <w:rFonts w:ascii="Book Antiqua" w:hAnsi="Book Antiqua" w:cs="Times New Roman"/>
        </w:rPr>
        <w:t>)</w:t>
      </w:r>
      <w:r w:rsidRPr="00675419">
        <w:rPr>
          <w:rFonts w:ascii="Book Antiqua" w:hAnsi="Book Antiqua" w:cs="Times New Roman"/>
          <w:bCs/>
        </w:rPr>
        <w:t xml:space="preserve">, </w:t>
      </w:r>
      <w:r w:rsidRPr="00675419">
        <w:rPr>
          <w:rFonts w:ascii="Book Antiqua" w:hAnsi="Book Antiqua" w:cs="Times New Roman"/>
          <w:bCs/>
          <w:i/>
        </w:rPr>
        <w:t xml:space="preserve">Pokok-Pokok Hukum Tata Negara Indonesia </w:t>
      </w:r>
      <w:proofErr w:type="gramStart"/>
      <w:r w:rsidRPr="00675419">
        <w:rPr>
          <w:rFonts w:ascii="Book Antiqua" w:hAnsi="Book Antiqua" w:cs="Times New Roman"/>
          <w:bCs/>
          <w:i/>
        </w:rPr>
        <w:t>Pasca  Amandemen</w:t>
      </w:r>
      <w:proofErr w:type="gramEnd"/>
      <w:r w:rsidRPr="00675419">
        <w:rPr>
          <w:rFonts w:ascii="Book Antiqua" w:hAnsi="Book Antiqua" w:cs="Times New Roman"/>
          <w:bCs/>
          <w:i/>
        </w:rPr>
        <w:t xml:space="preserve"> UUD 1945</w:t>
      </w:r>
      <w:r w:rsidRPr="00675419">
        <w:rPr>
          <w:rFonts w:ascii="Book Antiqua" w:hAnsi="Book Antiqua" w:cs="Times New Roman"/>
          <w:i/>
        </w:rPr>
        <w:t>,</w:t>
      </w:r>
      <w:r w:rsidRPr="00675419">
        <w:rPr>
          <w:rFonts w:ascii="Book Antiqua" w:hAnsi="Book Antiqua" w:cs="Times New Roman"/>
        </w:rPr>
        <w:t xml:space="preserve"> Cerdas Pustaka Publisher.</w:t>
      </w:r>
    </w:p>
    <w:p w14:paraId="50075DB3" w14:textId="17F8BEF4" w:rsidR="00675419" w:rsidRPr="00675419" w:rsidRDefault="00675419" w:rsidP="000A565A">
      <w:pPr>
        <w:spacing w:after="0" w:line="276" w:lineRule="auto"/>
        <w:ind w:left="567" w:hanging="567"/>
        <w:jc w:val="both"/>
        <w:rPr>
          <w:rFonts w:ascii="Book Antiqua" w:hAnsi="Book Antiqua" w:cs="Times New Roman"/>
          <w:lang w:val="en-US"/>
        </w:rPr>
      </w:pPr>
      <w:proofErr w:type="gramStart"/>
      <w:r w:rsidRPr="00675419">
        <w:rPr>
          <w:rFonts w:ascii="Book Antiqua" w:hAnsi="Book Antiqua" w:cs="Times New Roman"/>
        </w:rPr>
        <w:t xml:space="preserve">Utrecht, E, </w:t>
      </w:r>
      <w:r w:rsidR="0084487E">
        <w:rPr>
          <w:rFonts w:ascii="Book Antiqua" w:hAnsi="Book Antiqua" w:cs="Times New Roman"/>
        </w:rPr>
        <w:t>(</w:t>
      </w:r>
      <w:r w:rsidRPr="00675419">
        <w:rPr>
          <w:rFonts w:ascii="Book Antiqua" w:hAnsi="Book Antiqua" w:cs="Times New Roman"/>
        </w:rPr>
        <w:t>1950</w:t>
      </w:r>
      <w:r w:rsidR="0084487E">
        <w:rPr>
          <w:rFonts w:ascii="Book Antiqua" w:hAnsi="Book Antiqua" w:cs="Times New Roman"/>
        </w:rPr>
        <w:t>)</w:t>
      </w:r>
      <w:r w:rsidRPr="00675419">
        <w:rPr>
          <w:rFonts w:ascii="Book Antiqua" w:hAnsi="Book Antiqua" w:cs="Times New Roman"/>
        </w:rPr>
        <w:t xml:space="preserve">, </w:t>
      </w:r>
      <w:r w:rsidRPr="00675419">
        <w:rPr>
          <w:rFonts w:ascii="Book Antiqua" w:hAnsi="Book Antiqua" w:cs="Times New Roman"/>
          <w:i/>
          <w:iCs/>
        </w:rPr>
        <w:t xml:space="preserve">Pengantar Dalam Hukum Indonesia, </w:t>
      </w:r>
      <w:r w:rsidRPr="00675419">
        <w:rPr>
          <w:rFonts w:ascii="Book Antiqua" w:hAnsi="Book Antiqua" w:cs="Times New Roman"/>
        </w:rPr>
        <w:t>PT. Penerbit dan Balai Buku Ikhtiar, Jakarta.</w:t>
      </w:r>
      <w:proofErr w:type="gramEnd"/>
    </w:p>
    <w:p w14:paraId="45A28D3E" w14:textId="06CA19BE" w:rsidR="00675419" w:rsidRPr="00675419" w:rsidRDefault="00675419" w:rsidP="000A565A">
      <w:pPr>
        <w:spacing w:after="0" w:line="276" w:lineRule="auto"/>
        <w:ind w:left="567" w:hanging="567"/>
        <w:jc w:val="both"/>
        <w:rPr>
          <w:rFonts w:ascii="Book Antiqua" w:hAnsi="Book Antiqua" w:cs="Times New Roman"/>
          <w:lang w:val="en-US"/>
        </w:rPr>
      </w:pPr>
      <w:r w:rsidRPr="00675419">
        <w:rPr>
          <w:rFonts w:ascii="Book Antiqua" w:hAnsi="Book Antiqua" w:cs="Times New Roman"/>
        </w:rPr>
        <w:t>Schmid J.J,</w:t>
      </w:r>
      <w:r w:rsidR="00B33289" w:rsidRPr="00B33289">
        <w:rPr>
          <w:rFonts w:ascii="Book Antiqua" w:hAnsi="Book Antiqua" w:cs="Times New Roman"/>
        </w:rPr>
        <w:t xml:space="preserve"> </w:t>
      </w:r>
      <w:r w:rsidR="00B33289" w:rsidRPr="00675419">
        <w:rPr>
          <w:rFonts w:ascii="Book Antiqua" w:hAnsi="Book Antiqua" w:cs="Times New Roman"/>
        </w:rPr>
        <w:t>Van</w:t>
      </w:r>
      <w:r w:rsidR="00B33289">
        <w:rPr>
          <w:rFonts w:ascii="Book Antiqua" w:hAnsi="Book Antiqua" w:cs="Times New Roman"/>
        </w:rPr>
        <w:t>,</w:t>
      </w:r>
      <w:r w:rsidRPr="00675419">
        <w:rPr>
          <w:rFonts w:ascii="Book Antiqua" w:hAnsi="Book Antiqua" w:cs="Times New Roman"/>
        </w:rPr>
        <w:t xml:space="preserve"> </w:t>
      </w:r>
      <w:r w:rsidR="0084487E">
        <w:rPr>
          <w:rFonts w:ascii="Book Antiqua" w:hAnsi="Book Antiqua" w:cs="Times New Roman"/>
        </w:rPr>
        <w:t>(</w:t>
      </w:r>
      <w:r w:rsidRPr="00675419">
        <w:rPr>
          <w:rFonts w:ascii="Book Antiqua" w:hAnsi="Book Antiqua" w:cs="Times New Roman"/>
        </w:rPr>
        <w:t>1980</w:t>
      </w:r>
      <w:r w:rsidR="0084487E">
        <w:rPr>
          <w:rFonts w:ascii="Book Antiqua" w:hAnsi="Book Antiqua" w:cs="Times New Roman"/>
        </w:rPr>
        <w:t>)</w:t>
      </w:r>
      <w:r w:rsidRPr="00675419">
        <w:rPr>
          <w:rFonts w:ascii="Book Antiqua" w:hAnsi="Book Antiqua" w:cs="Times New Roman"/>
        </w:rPr>
        <w:t xml:space="preserve">, </w:t>
      </w:r>
      <w:r w:rsidRPr="00675419">
        <w:rPr>
          <w:rFonts w:ascii="Book Antiqua" w:hAnsi="Book Antiqua" w:cs="Times New Roman"/>
          <w:i/>
          <w:iCs/>
        </w:rPr>
        <w:t xml:space="preserve">Ahli-Ahli Pikir Besar Tentang Negara dan Hukum, </w:t>
      </w:r>
      <w:r w:rsidRPr="00675419">
        <w:rPr>
          <w:rFonts w:ascii="Book Antiqua" w:hAnsi="Book Antiqua" w:cs="Times New Roman"/>
        </w:rPr>
        <w:t>Pustaka Sarjana, Jakarta.</w:t>
      </w:r>
    </w:p>
    <w:p w14:paraId="08116EF9" w14:textId="16BEC8D1" w:rsidR="00675419" w:rsidRPr="00675419" w:rsidRDefault="00675419" w:rsidP="000A565A">
      <w:pPr>
        <w:autoSpaceDE w:val="0"/>
        <w:autoSpaceDN w:val="0"/>
        <w:adjustRightInd w:val="0"/>
        <w:spacing w:after="0" w:line="276" w:lineRule="auto"/>
        <w:ind w:left="567" w:hanging="567"/>
        <w:jc w:val="both"/>
        <w:rPr>
          <w:rFonts w:ascii="Book Antiqua" w:hAnsi="Book Antiqua" w:cs="Times New Roman"/>
        </w:rPr>
      </w:pPr>
      <w:r w:rsidRPr="00675419">
        <w:rPr>
          <w:rFonts w:ascii="Book Antiqua" w:hAnsi="Book Antiqua" w:cs="Times New Roman"/>
        </w:rPr>
        <w:t xml:space="preserve">Zainal Arifin Hoesein, </w:t>
      </w:r>
      <w:r w:rsidR="0084487E">
        <w:rPr>
          <w:rFonts w:ascii="Book Antiqua" w:hAnsi="Book Antiqua" w:cs="Times New Roman"/>
        </w:rPr>
        <w:t>(</w:t>
      </w:r>
      <w:r w:rsidRPr="00675419">
        <w:rPr>
          <w:rFonts w:ascii="Book Antiqua" w:hAnsi="Book Antiqua" w:cs="Times New Roman"/>
        </w:rPr>
        <w:t>2009</w:t>
      </w:r>
      <w:r w:rsidR="0084487E">
        <w:rPr>
          <w:rFonts w:ascii="Book Antiqua" w:hAnsi="Book Antiqua" w:cs="Times New Roman"/>
        </w:rPr>
        <w:t>)</w:t>
      </w:r>
      <w:r w:rsidRPr="00675419">
        <w:rPr>
          <w:rFonts w:ascii="Book Antiqua" w:hAnsi="Book Antiqua" w:cs="Times New Roman"/>
        </w:rPr>
        <w:t xml:space="preserve">, </w:t>
      </w:r>
      <w:r w:rsidRPr="00675419">
        <w:rPr>
          <w:rFonts w:ascii="Book Antiqua" w:hAnsi="Book Antiqua" w:cs="Times New Roman"/>
          <w:bCs/>
          <w:i/>
        </w:rPr>
        <w:t>Judicial Review Di Mahkamah Agung RI</w:t>
      </w:r>
      <w:r w:rsidRPr="00675419">
        <w:rPr>
          <w:rFonts w:ascii="Book Antiqua" w:hAnsi="Book Antiqua" w:cs="Times New Roman"/>
          <w:i/>
        </w:rPr>
        <w:t>,</w:t>
      </w:r>
      <w:r w:rsidRPr="00675419">
        <w:rPr>
          <w:rFonts w:ascii="Book Antiqua" w:hAnsi="Book Antiqua" w:cs="Times New Roman"/>
        </w:rPr>
        <w:t xml:space="preserve"> PT. Raja Grafindo Persada, Jakarta.</w:t>
      </w:r>
    </w:p>
    <w:p w14:paraId="1FDB0C11" w14:textId="77777777" w:rsidR="00675419" w:rsidRPr="00675419" w:rsidRDefault="00675419" w:rsidP="000A565A">
      <w:pPr>
        <w:spacing w:after="0" w:line="276" w:lineRule="auto"/>
        <w:ind w:left="567" w:hanging="567"/>
        <w:jc w:val="both"/>
        <w:rPr>
          <w:rFonts w:ascii="Book Antiqua" w:hAnsi="Book Antiqua" w:cs="Times New Roman"/>
          <w:lang w:val="en-US"/>
        </w:rPr>
      </w:pPr>
      <w:r w:rsidRPr="00675419">
        <w:rPr>
          <w:rFonts w:ascii="Book Antiqua" w:hAnsi="Book Antiqua" w:cs="Times New Roman"/>
        </w:rPr>
        <w:t xml:space="preserve">Undang-Undang Dasar Negara Republik Indonesia Tahun 1945 </w:t>
      </w:r>
    </w:p>
    <w:p w14:paraId="316AB833" w14:textId="77777777" w:rsidR="00675419" w:rsidRPr="00675419" w:rsidRDefault="00675419" w:rsidP="000A565A">
      <w:pPr>
        <w:spacing w:after="0" w:line="276" w:lineRule="auto"/>
        <w:ind w:left="567" w:hanging="567"/>
        <w:jc w:val="both"/>
        <w:rPr>
          <w:rFonts w:ascii="Book Antiqua" w:hAnsi="Book Antiqua" w:cs="Times New Roman"/>
          <w:lang w:val="en-US"/>
        </w:rPr>
      </w:pPr>
      <w:r w:rsidRPr="00675419">
        <w:rPr>
          <w:rFonts w:ascii="Book Antiqua" w:hAnsi="Book Antiqua" w:cs="Times New Roman"/>
        </w:rPr>
        <w:t xml:space="preserve">Undang-Undang Nomor 3 Tahun 2009 Tentang Mahkamah Agung </w:t>
      </w:r>
    </w:p>
    <w:p w14:paraId="66295611" w14:textId="77777777" w:rsidR="00675419" w:rsidRPr="00675419" w:rsidRDefault="00675419" w:rsidP="000A565A">
      <w:pPr>
        <w:spacing w:after="0" w:line="276" w:lineRule="auto"/>
        <w:ind w:left="567" w:hanging="567"/>
        <w:jc w:val="both"/>
        <w:rPr>
          <w:rFonts w:ascii="Book Antiqua" w:hAnsi="Book Antiqua" w:cs="Times New Roman"/>
          <w:lang w:val="en-US"/>
        </w:rPr>
      </w:pPr>
      <w:r w:rsidRPr="00675419">
        <w:rPr>
          <w:rFonts w:ascii="Book Antiqua" w:hAnsi="Book Antiqua" w:cs="Times New Roman"/>
        </w:rPr>
        <w:t xml:space="preserve">Undang-Undang Nomor 18 Tahun 2011 Tentang Komisi Yudisial </w:t>
      </w:r>
    </w:p>
    <w:p w14:paraId="6E3CC7CC" w14:textId="77777777" w:rsidR="00675419" w:rsidRPr="00296B38" w:rsidRDefault="00675419" w:rsidP="000A565A">
      <w:pPr>
        <w:spacing w:after="0" w:line="240" w:lineRule="auto"/>
        <w:contextualSpacing/>
        <w:jc w:val="both"/>
        <w:rPr>
          <w:rFonts w:ascii="Book Antiqua" w:eastAsia="Times New Roman" w:hAnsi="Book Antiqua" w:cs="Times New Roman"/>
          <w:color w:val="000000"/>
          <w:lang w:val="en-US"/>
        </w:rPr>
      </w:pPr>
    </w:p>
    <w:p w14:paraId="36BC04A1" w14:textId="77777777" w:rsidR="00296B38" w:rsidRDefault="00296B38" w:rsidP="000A565A">
      <w:pPr>
        <w:spacing w:after="0" w:line="276" w:lineRule="auto"/>
        <w:jc w:val="both"/>
        <w:rPr>
          <w:rFonts w:ascii="Book Antiqua" w:hAnsi="Book Antiqua"/>
        </w:rPr>
      </w:pPr>
    </w:p>
    <w:p w14:paraId="660A60D7" w14:textId="77777777" w:rsidR="00296B38" w:rsidRDefault="00296B38" w:rsidP="000A565A">
      <w:pPr>
        <w:spacing w:after="0" w:line="276" w:lineRule="auto"/>
        <w:jc w:val="both"/>
        <w:rPr>
          <w:rFonts w:ascii="Book Antiqua" w:hAnsi="Book Antiqua"/>
        </w:rPr>
      </w:pPr>
    </w:p>
    <w:p w14:paraId="7F5D5D85" w14:textId="77777777" w:rsidR="00296B38" w:rsidRDefault="00296B38" w:rsidP="000A565A">
      <w:pPr>
        <w:spacing w:after="0" w:line="276" w:lineRule="auto"/>
        <w:jc w:val="both"/>
        <w:rPr>
          <w:rFonts w:ascii="Book Antiqua" w:hAnsi="Book Antiqua"/>
        </w:rPr>
      </w:pPr>
    </w:p>
    <w:p w14:paraId="41466529" w14:textId="77777777" w:rsidR="00675419" w:rsidRDefault="00675419" w:rsidP="000A565A">
      <w:pPr>
        <w:spacing w:after="0" w:line="276" w:lineRule="auto"/>
        <w:jc w:val="both"/>
        <w:rPr>
          <w:rFonts w:ascii="Book Antiqua" w:hAnsi="Book Antiqua"/>
        </w:rPr>
      </w:pPr>
    </w:p>
    <w:p w14:paraId="56DE8DDD" w14:textId="77777777" w:rsidR="00675419" w:rsidRDefault="00675419" w:rsidP="000A565A">
      <w:pPr>
        <w:spacing w:after="0" w:line="276" w:lineRule="auto"/>
        <w:jc w:val="both"/>
        <w:rPr>
          <w:rFonts w:ascii="Book Antiqua" w:hAnsi="Book Antiqua"/>
        </w:rPr>
      </w:pPr>
    </w:p>
    <w:p w14:paraId="05C60F24" w14:textId="77777777" w:rsidR="00675419" w:rsidRDefault="00675419" w:rsidP="000A565A">
      <w:pPr>
        <w:spacing w:after="0" w:line="276" w:lineRule="auto"/>
        <w:jc w:val="both"/>
        <w:rPr>
          <w:rFonts w:ascii="Book Antiqua" w:hAnsi="Book Antiqua"/>
        </w:rPr>
      </w:pPr>
    </w:p>
    <w:p w14:paraId="1551FBCF" w14:textId="77777777" w:rsidR="00675419" w:rsidRDefault="00675419" w:rsidP="000A565A">
      <w:pPr>
        <w:spacing w:after="0" w:line="276" w:lineRule="auto"/>
        <w:jc w:val="both"/>
        <w:rPr>
          <w:rFonts w:ascii="Book Antiqua" w:hAnsi="Book Antiqua"/>
        </w:rPr>
      </w:pPr>
    </w:p>
    <w:p w14:paraId="0210D1FC" w14:textId="77777777" w:rsidR="00675419" w:rsidRDefault="00675419" w:rsidP="000A565A">
      <w:pPr>
        <w:spacing w:after="0" w:line="276" w:lineRule="auto"/>
        <w:jc w:val="both"/>
        <w:rPr>
          <w:rFonts w:ascii="Book Antiqua" w:hAnsi="Book Antiqua"/>
        </w:rPr>
      </w:pPr>
    </w:p>
    <w:p w14:paraId="7511EEE2" w14:textId="77777777" w:rsidR="00675419" w:rsidRDefault="00675419" w:rsidP="000A565A">
      <w:pPr>
        <w:spacing w:after="0" w:line="276" w:lineRule="auto"/>
        <w:jc w:val="both"/>
        <w:rPr>
          <w:rFonts w:ascii="Book Antiqua" w:hAnsi="Book Antiqua"/>
        </w:rPr>
      </w:pPr>
    </w:p>
    <w:p w14:paraId="27228570" w14:textId="77777777" w:rsidR="00675419" w:rsidRPr="00133FCD" w:rsidRDefault="00675419" w:rsidP="000A565A">
      <w:pPr>
        <w:spacing w:after="0" w:line="276" w:lineRule="auto"/>
        <w:jc w:val="both"/>
        <w:rPr>
          <w:rFonts w:ascii="Book Antiqua" w:hAnsi="Book Antiqua"/>
        </w:rPr>
      </w:pPr>
    </w:p>
    <w:sectPr w:rsidR="00675419" w:rsidRPr="00133FCD" w:rsidSect="0084487E">
      <w:headerReference w:type="default" r:id="rId9"/>
      <w:footerReference w:type="default" r:id="rId10"/>
      <w:footerReference w:type="first" r:id="rId11"/>
      <w:pgSz w:w="11906" w:h="16838"/>
      <w:pgMar w:top="1440" w:right="1440" w:bottom="1440" w:left="1440" w:header="708" w:footer="708" w:gutter="0"/>
      <w:pgNumType w:start="6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B4037" w14:textId="77777777" w:rsidR="00597B5F" w:rsidRDefault="00597B5F" w:rsidP="00253312">
      <w:pPr>
        <w:spacing w:after="0" w:line="240" w:lineRule="auto"/>
      </w:pPr>
      <w:r>
        <w:separator/>
      </w:r>
    </w:p>
  </w:endnote>
  <w:endnote w:type="continuationSeparator" w:id="0">
    <w:p w14:paraId="60C402E8" w14:textId="77777777" w:rsidR="00597B5F" w:rsidRDefault="00597B5F" w:rsidP="0025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IN-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8B5C3" w14:textId="77777777" w:rsidR="00253312" w:rsidRPr="00253312" w:rsidRDefault="00253312" w:rsidP="00253312">
    <w:pPr>
      <w:pStyle w:val="Footer"/>
      <w:rPr>
        <w:rFonts w:ascii="Book Antiqua" w:hAnsi="Book Antiqua"/>
      </w:rPr>
    </w:pPr>
    <w:r w:rsidRPr="00253312">
      <w:rPr>
        <w:rFonts w:ascii="Book Antiqua" w:hAnsi="Book Antiqua"/>
        <w:b/>
        <w:bCs/>
      </w:rPr>
      <w:t>IBLAM Law Review</w:t>
    </w:r>
    <w:r w:rsidRPr="00253312">
      <w:rPr>
        <w:rFonts w:ascii="Book Antiqua" w:hAnsi="Book Antiqua"/>
      </w:rPr>
      <w:tab/>
    </w:r>
    <w:sdt>
      <w:sdtPr>
        <w:rPr>
          <w:rFonts w:ascii="Book Antiqua" w:hAnsi="Book Antiqua"/>
        </w:rPr>
        <w:id w:val="-1429502876"/>
        <w:docPartObj>
          <w:docPartGallery w:val="Page Numbers (Bottom of Page)"/>
          <w:docPartUnique/>
        </w:docPartObj>
      </w:sdtPr>
      <w:sdtEndPr>
        <w:rPr>
          <w:noProof/>
        </w:rPr>
      </w:sdtEndPr>
      <w:sdtContent>
        <w:r w:rsidRPr="00253312">
          <w:rPr>
            <w:rFonts w:ascii="Book Antiqua" w:hAnsi="Book Antiqua"/>
          </w:rPr>
          <w:fldChar w:fldCharType="begin"/>
        </w:r>
        <w:r w:rsidRPr="00253312">
          <w:rPr>
            <w:rFonts w:ascii="Book Antiqua" w:hAnsi="Book Antiqua"/>
          </w:rPr>
          <w:instrText xml:space="preserve"> PAGE   \* MERGEFORMAT </w:instrText>
        </w:r>
        <w:r w:rsidRPr="00253312">
          <w:rPr>
            <w:rFonts w:ascii="Book Antiqua" w:hAnsi="Book Antiqua"/>
          </w:rPr>
          <w:fldChar w:fldCharType="separate"/>
        </w:r>
        <w:r w:rsidR="0084487E">
          <w:rPr>
            <w:rFonts w:ascii="Book Antiqua" w:hAnsi="Book Antiqua"/>
            <w:noProof/>
          </w:rPr>
          <w:t>637</w:t>
        </w:r>
        <w:r w:rsidRPr="00253312">
          <w:rPr>
            <w:rFonts w:ascii="Book Antiqua" w:hAnsi="Book Antiqua"/>
            <w:noProof/>
          </w:rPr>
          <w:fldChar w:fldCharType="end"/>
        </w:r>
      </w:sdtContent>
    </w:sdt>
  </w:p>
  <w:p w14:paraId="23B1E73D" w14:textId="77777777" w:rsidR="00253312" w:rsidRDefault="00253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06C6" w14:textId="33C5D32A" w:rsidR="0084487E" w:rsidRPr="0084487E" w:rsidRDefault="0084487E" w:rsidP="0084487E">
    <w:pPr>
      <w:pStyle w:val="Footer"/>
      <w:jc w:val="center"/>
      <w:rPr>
        <w:rFonts w:ascii="Book Antiqua" w:hAnsi="Book Antiqua"/>
      </w:rPr>
    </w:pPr>
    <w:r w:rsidRPr="0084487E">
      <w:rPr>
        <w:rFonts w:ascii="Book Antiqua" w:hAnsi="Book Antiqua"/>
      </w:rPr>
      <w:t>635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7F5C2" w14:textId="77777777" w:rsidR="00597B5F" w:rsidRDefault="00597B5F" w:rsidP="00253312">
      <w:pPr>
        <w:spacing w:after="0" w:line="240" w:lineRule="auto"/>
      </w:pPr>
      <w:r>
        <w:separator/>
      </w:r>
    </w:p>
  </w:footnote>
  <w:footnote w:type="continuationSeparator" w:id="0">
    <w:p w14:paraId="7AABFD8A" w14:textId="77777777" w:rsidR="00597B5F" w:rsidRDefault="00597B5F" w:rsidP="00253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2867D" w14:textId="25627119" w:rsidR="00253312" w:rsidRDefault="000A565A" w:rsidP="00253312">
    <w:pPr>
      <w:pStyle w:val="Header"/>
      <w:jc w:val="right"/>
      <w:rPr>
        <w:rFonts w:ascii="Book Antiqua" w:hAnsi="Book Antiqua"/>
        <w:sz w:val="18"/>
        <w:szCs w:val="18"/>
      </w:rPr>
    </w:pPr>
    <w:r>
      <w:rPr>
        <w:rFonts w:ascii="Book Antiqua" w:hAnsi="Book Antiqua"/>
        <w:sz w:val="18"/>
        <w:szCs w:val="18"/>
      </w:rPr>
      <w:t xml:space="preserve">Siti Aminah </w:t>
    </w:r>
  </w:p>
  <w:p w14:paraId="6D3BACD6" w14:textId="2D4070DD" w:rsidR="000A565A" w:rsidRPr="00253312" w:rsidRDefault="000A565A" w:rsidP="00253312">
    <w:pPr>
      <w:pStyle w:val="Header"/>
      <w:jc w:val="right"/>
      <w:rPr>
        <w:rFonts w:ascii="Book Antiqua" w:hAnsi="Book Antiqua"/>
        <w:sz w:val="18"/>
        <w:szCs w:val="18"/>
      </w:rPr>
    </w:pPr>
    <w:r>
      <w:rPr>
        <w:rFonts w:ascii="Book Antiqua" w:hAnsi="Book Antiqua"/>
        <w:sz w:val="18"/>
        <w:szCs w:val="18"/>
      </w:rPr>
      <w:t>Universitas Tanjungpura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176"/>
    <w:multiLevelType w:val="hybridMultilevel"/>
    <w:tmpl w:val="C54EB5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885D6D"/>
    <w:multiLevelType w:val="hybridMultilevel"/>
    <w:tmpl w:val="C3AE6BA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8B0D5F"/>
    <w:multiLevelType w:val="hybridMultilevel"/>
    <w:tmpl w:val="3F42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14735"/>
    <w:multiLevelType w:val="hybridMultilevel"/>
    <w:tmpl w:val="CEF40D94"/>
    <w:lvl w:ilvl="0" w:tplc="4392C990">
      <w:start w:val="1"/>
      <w:numFmt w:val="lowerLetter"/>
      <w:lvlText w:val="%1."/>
      <w:lvlJc w:val="left"/>
      <w:pPr>
        <w:ind w:left="1080" w:hanging="360"/>
      </w:pPr>
      <w:rPr>
        <w:rFonts w:ascii="Book Antiqua" w:eastAsiaTheme="minorHAnsi" w:hAnsi="Book Antiqua"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D71E6E"/>
    <w:multiLevelType w:val="hybridMultilevel"/>
    <w:tmpl w:val="0694A350"/>
    <w:lvl w:ilvl="0" w:tplc="B186001E">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czNTQwsbQAQgMjYyUdpeDU4uLM/DyQAsNaAI15lPQsAAAA"/>
  </w:docVars>
  <w:rsids>
    <w:rsidRoot w:val="00AC0A0A"/>
    <w:rsid w:val="000A565A"/>
    <w:rsid w:val="00133FCD"/>
    <w:rsid w:val="001662EC"/>
    <w:rsid w:val="00253312"/>
    <w:rsid w:val="00266A30"/>
    <w:rsid w:val="00273C9B"/>
    <w:rsid w:val="00296B38"/>
    <w:rsid w:val="002C3D29"/>
    <w:rsid w:val="00314D1A"/>
    <w:rsid w:val="003D46B0"/>
    <w:rsid w:val="0054146E"/>
    <w:rsid w:val="0056343E"/>
    <w:rsid w:val="00597B5F"/>
    <w:rsid w:val="00675419"/>
    <w:rsid w:val="007209C5"/>
    <w:rsid w:val="00735D79"/>
    <w:rsid w:val="00773878"/>
    <w:rsid w:val="0079287F"/>
    <w:rsid w:val="00792BDB"/>
    <w:rsid w:val="007E2B34"/>
    <w:rsid w:val="008227E5"/>
    <w:rsid w:val="0084487E"/>
    <w:rsid w:val="00853580"/>
    <w:rsid w:val="00863701"/>
    <w:rsid w:val="00895C8D"/>
    <w:rsid w:val="00921A80"/>
    <w:rsid w:val="009C00E6"/>
    <w:rsid w:val="00AC0A0A"/>
    <w:rsid w:val="00AC3B78"/>
    <w:rsid w:val="00AC5FAE"/>
    <w:rsid w:val="00B14443"/>
    <w:rsid w:val="00B33289"/>
    <w:rsid w:val="00C33F27"/>
    <w:rsid w:val="00D21584"/>
    <w:rsid w:val="00D859B1"/>
    <w:rsid w:val="00E2220C"/>
    <w:rsid w:val="00E96989"/>
    <w:rsid w:val="00ED0D05"/>
    <w:rsid w:val="00EE5E76"/>
    <w:rsid w:val="00F078AA"/>
    <w:rsid w:val="00F1797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E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56343E"/>
    <w:rPr>
      <w:rFonts w:ascii="DIN-Regular" w:hAnsi="DIN-Regular" w:hint="default"/>
      <w:b w:val="0"/>
      <w:bCs w:val="0"/>
      <w:i w:val="0"/>
      <w:iCs w:val="0"/>
      <w:color w:val="242021"/>
      <w:sz w:val="20"/>
      <w:szCs w:val="20"/>
    </w:rPr>
  </w:style>
  <w:style w:type="paragraph" w:styleId="Header">
    <w:name w:val="header"/>
    <w:basedOn w:val="Normal"/>
    <w:link w:val="HeaderChar"/>
    <w:uiPriority w:val="99"/>
    <w:unhideWhenUsed/>
    <w:rsid w:val="00253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312"/>
  </w:style>
  <w:style w:type="paragraph" w:styleId="Footer">
    <w:name w:val="footer"/>
    <w:basedOn w:val="Normal"/>
    <w:link w:val="FooterChar"/>
    <w:uiPriority w:val="99"/>
    <w:unhideWhenUsed/>
    <w:rsid w:val="00253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312"/>
  </w:style>
  <w:style w:type="paragraph" w:styleId="NormalWeb">
    <w:name w:val="Normal (Web)"/>
    <w:basedOn w:val="Normal"/>
    <w:uiPriority w:val="99"/>
    <w:unhideWhenUsed/>
    <w:rsid w:val="00296B38"/>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PlaceholderText">
    <w:name w:val="Placeholder Text"/>
    <w:basedOn w:val="DefaultParagraphFont"/>
    <w:uiPriority w:val="99"/>
    <w:semiHidden/>
    <w:rsid w:val="00296B38"/>
    <w:rPr>
      <w:color w:val="808080"/>
    </w:rPr>
  </w:style>
  <w:style w:type="paragraph" w:styleId="FootnoteText">
    <w:name w:val="footnote text"/>
    <w:basedOn w:val="Normal"/>
    <w:link w:val="FootnoteTextChar"/>
    <w:uiPriority w:val="99"/>
    <w:unhideWhenUsed/>
    <w:rsid w:val="00EE5E76"/>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EE5E76"/>
    <w:rPr>
      <w:sz w:val="20"/>
      <w:szCs w:val="20"/>
      <w:lang w:val="id-ID"/>
    </w:rPr>
  </w:style>
  <w:style w:type="character" w:styleId="FootnoteReference">
    <w:name w:val="footnote reference"/>
    <w:basedOn w:val="DefaultParagraphFont"/>
    <w:uiPriority w:val="99"/>
    <w:semiHidden/>
    <w:unhideWhenUsed/>
    <w:rsid w:val="00EE5E76"/>
    <w:rPr>
      <w:vertAlign w:val="superscript"/>
    </w:rPr>
  </w:style>
  <w:style w:type="paragraph" w:styleId="ListParagraph">
    <w:name w:val="List Paragraph"/>
    <w:aliases w:val="Body of text,List Paragraph1,Heading 10,Sub Judul DEA KP,Body Text Char1,Char Char2,List Paragraph2,Char Char21,Header Char1,Tabel,point-point,kepala,Recommendation,List Paragraph11,coba1,List Paragraph untuk Tabel,Box,list paragraph"/>
    <w:basedOn w:val="Normal"/>
    <w:link w:val="ListParagraphChar"/>
    <w:uiPriority w:val="34"/>
    <w:qFormat/>
    <w:rsid w:val="00675419"/>
    <w:pPr>
      <w:spacing w:after="200" w:line="276" w:lineRule="auto"/>
      <w:ind w:left="720"/>
      <w:contextualSpacing/>
    </w:pPr>
    <w:rPr>
      <w:lang w:val="id-ID"/>
    </w:rPr>
  </w:style>
  <w:style w:type="character" w:customStyle="1" w:styleId="ListParagraphChar">
    <w:name w:val="List Paragraph Char"/>
    <w:aliases w:val="Body of text Char,List Paragraph1 Char,Heading 10 Char,Sub Judul DEA KP Char,Body Text Char1 Char,Char Char2 Char,List Paragraph2 Char,Char Char21 Char,Header Char1 Char,Tabel Char,point-point Char,kepala Char,Recommendation Char"/>
    <w:link w:val="ListParagraph"/>
    <w:uiPriority w:val="34"/>
    <w:qFormat/>
    <w:locked/>
    <w:rsid w:val="00675419"/>
    <w:rPr>
      <w:lang w:val="id-ID"/>
    </w:rPr>
  </w:style>
  <w:style w:type="character" w:styleId="Hyperlink">
    <w:name w:val="Hyperlink"/>
    <w:basedOn w:val="DefaultParagraphFont"/>
    <w:uiPriority w:val="99"/>
    <w:unhideWhenUsed/>
    <w:rsid w:val="001662EC"/>
    <w:rPr>
      <w:color w:val="F49100" w:themeColor="hyperlink"/>
      <w:u w:val="single"/>
    </w:rPr>
  </w:style>
  <w:style w:type="character" w:customStyle="1" w:styleId="UnresolvedMention">
    <w:name w:val="Unresolved Mention"/>
    <w:basedOn w:val="DefaultParagraphFont"/>
    <w:uiPriority w:val="99"/>
    <w:semiHidden/>
    <w:unhideWhenUsed/>
    <w:rsid w:val="001662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56343E"/>
    <w:rPr>
      <w:rFonts w:ascii="DIN-Regular" w:hAnsi="DIN-Regular" w:hint="default"/>
      <w:b w:val="0"/>
      <w:bCs w:val="0"/>
      <w:i w:val="0"/>
      <w:iCs w:val="0"/>
      <w:color w:val="242021"/>
      <w:sz w:val="20"/>
      <w:szCs w:val="20"/>
    </w:rPr>
  </w:style>
  <w:style w:type="paragraph" w:styleId="Header">
    <w:name w:val="header"/>
    <w:basedOn w:val="Normal"/>
    <w:link w:val="HeaderChar"/>
    <w:uiPriority w:val="99"/>
    <w:unhideWhenUsed/>
    <w:rsid w:val="00253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312"/>
  </w:style>
  <w:style w:type="paragraph" w:styleId="Footer">
    <w:name w:val="footer"/>
    <w:basedOn w:val="Normal"/>
    <w:link w:val="FooterChar"/>
    <w:uiPriority w:val="99"/>
    <w:unhideWhenUsed/>
    <w:rsid w:val="00253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312"/>
  </w:style>
  <w:style w:type="paragraph" w:styleId="NormalWeb">
    <w:name w:val="Normal (Web)"/>
    <w:basedOn w:val="Normal"/>
    <w:uiPriority w:val="99"/>
    <w:unhideWhenUsed/>
    <w:rsid w:val="00296B38"/>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PlaceholderText">
    <w:name w:val="Placeholder Text"/>
    <w:basedOn w:val="DefaultParagraphFont"/>
    <w:uiPriority w:val="99"/>
    <w:semiHidden/>
    <w:rsid w:val="00296B38"/>
    <w:rPr>
      <w:color w:val="808080"/>
    </w:rPr>
  </w:style>
  <w:style w:type="paragraph" w:styleId="FootnoteText">
    <w:name w:val="footnote text"/>
    <w:basedOn w:val="Normal"/>
    <w:link w:val="FootnoteTextChar"/>
    <w:uiPriority w:val="99"/>
    <w:unhideWhenUsed/>
    <w:rsid w:val="00EE5E76"/>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EE5E76"/>
    <w:rPr>
      <w:sz w:val="20"/>
      <w:szCs w:val="20"/>
      <w:lang w:val="id-ID"/>
    </w:rPr>
  </w:style>
  <w:style w:type="character" w:styleId="FootnoteReference">
    <w:name w:val="footnote reference"/>
    <w:basedOn w:val="DefaultParagraphFont"/>
    <w:uiPriority w:val="99"/>
    <w:semiHidden/>
    <w:unhideWhenUsed/>
    <w:rsid w:val="00EE5E76"/>
    <w:rPr>
      <w:vertAlign w:val="superscript"/>
    </w:rPr>
  </w:style>
  <w:style w:type="paragraph" w:styleId="ListParagraph">
    <w:name w:val="List Paragraph"/>
    <w:aliases w:val="Body of text,List Paragraph1,Heading 10,Sub Judul DEA KP,Body Text Char1,Char Char2,List Paragraph2,Char Char21,Header Char1,Tabel,point-point,kepala,Recommendation,List Paragraph11,coba1,List Paragraph untuk Tabel,Box,list paragraph"/>
    <w:basedOn w:val="Normal"/>
    <w:link w:val="ListParagraphChar"/>
    <w:uiPriority w:val="34"/>
    <w:qFormat/>
    <w:rsid w:val="00675419"/>
    <w:pPr>
      <w:spacing w:after="200" w:line="276" w:lineRule="auto"/>
      <w:ind w:left="720"/>
      <w:contextualSpacing/>
    </w:pPr>
    <w:rPr>
      <w:lang w:val="id-ID"/>
    </w:rPr>
  </w:style>
  <w:style w:type="character" w:customStyle="1" w:styleId="ListParagraphChar">
    <w:name w:val="List Paragraph Char"/>
    <w:aliases w:val="Body of text Char,List Paragraph1 Char,Heading 10 Char,Sub Judul DEA KP Char,Body Text Char1 Char,Char Char2 Char,List Paragraph2 Char,Char Char21 Char,Header Char1 Char,Tabel Char,point-point Char,kepala Char,Recommendation Char"/>
    <w:link w:val="ListParagraph"/>
    <w:uiPriority w:val="34"/>
    <w:qFormat/>
    <w:locked/>
    <w:rsid w:val="00675419"/>
    <w:rPr>
      <w:lang w:val="id-ID"/>
    </w:rPr>
  </w:style>
  <w:style w:type="character" w:styleId="Hyperlink">
    <w:name w:val="Hyperlink"/>
    <w:basedOn w:val="DefaultParagraphFont"/>
    <w:uiPriority w:val="99"/>
    <w:unhideWhenUsed/>
    <w:rsid w:val="001662EC"/>
    <w:rPr>
      <w:color w:val="F49100" w:themeColor="hyperlink"/>
      <w:u w:val="single"/>
    </w:rPr>
  </w:style>
  <w:style w:type="character" w:customStyle="1" w:styleId="UnresolvedMention">
    <w:name w:val="Unresolved Mention"/>
    <w:basedOn w:val="DefaultParagraphFont"/>
    <w:uiPriority w:val="99"/>
    <w:semiHidden/>
    <w:unhideWhenUsed/>
    <w:rsid w:val="00166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543441">
      <w:bodyDiv w:val="1"/>
      <w:marLeft w:val="0"/>
      <w:marRight w:val="0"/>
      <w:marTop w:val="0"/>
      <w:marBottom w:val="0"/>
      <w:divBdr>
        <w:top w:val="none" w:sz="0" w:space="0" w:color="auto"/>
        <w:left w:val="none" w:sz="0" w:space="0" w:color="auto"/>
        <w:bottom w:val="none" w:sz="0" w:space="0" w:color="auto"/>
        <w:right w:val="none" w:sz="0" w:space="0" w:color="auto"/>
      </w:divBdr>
    </w:div>
    <w:div w:id="1501853069">
      <w:bodyDiv w:val="1"/>
      <w:marLeft w:val="0"/>
      <w:marRight w:val="0"/>
      <w:marTop w:val="0"/>
      <w:marBottom w:val="0"/>
      <w:divBdr>
        <w:top w:val="none" w:sz="0" w:space="0" w:color="auto"/>
        <w:left w:val="none" w:sz="0" w:space="0" w:color="auto"/>
        <w:bottom w:val="none" w:sz="0" w:space="0" w:color="auto"/>
        <w:right w:val="none" w:sz="0" w:space="0" w:color="auto"/>
      </w:divBdr>
      <w:divsChild>
        <w:div w:id="180515628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6ED3DC-FF3E-4BFE-BF8D-AD011F87E3F2}">
  <we:reference id="wa104382081" version="1.46.0.0" store="en-US" storeType="OMEX"/>
  <we:alternateReferences>
    <we:reference id="WA104382081" version="1.46.0.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B641B10-DBDE-466D-BCC2-21997519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5028</Words>
  <Characters>28665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ismail - [2010]</cp:lastModifiedBy>
  <cp:revision>31</cp:revision>
  <dcterms:created xsi:type="dcterms:W3CDTF">2024-02-17T09:36:00Z</dcterms:created>
  <dcterms:modified xsi:type="dcterms:W3CDTF">2024-02-20T00:32:00Z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62577c2a-65ec-4517-9b91-b4ff5acd8670</vt:lpwstr>
  </property>
</Properties>
</file>